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360"/>
          <w:tab w:val="clear" w:pos="4536"/>
          <w:tab w:val="clear" w:pos="9072"/>
        </w:tabs>
        <w:outlineLvl w:val="0"/>
        <w:rPr>
          <w:sz w:val="28"/>
          <w:szCs w:val="28"/>
          <w:lang w:eastAsia="zh-CN"/>
        </w:rPr>
      </w:pPr>
      <w:bookmarkStart w:id="0" w:name="OLE_LINK3"/>
      <w:bookmarkStart w:id="1" w:name="OLE_LINK33"/>
      <w:bookmarkStart w:id="2" w:name="OLE_LINK34"/>
      <w:bookmarkStart w:id="3" w:name="OLE_LINK13"/>
      <w:bookmarkStart w:id="4" w:name="OLE_LINK12"/>
      <w:r>
        <w:rPr>
          <w:sz w:val="28"/>
          <w:szCs w:val="28"/>
        </w:rPr>
        <w:t>3GPP TSG RAN WG</w:t>
      </w:r>
      <w:r>
        <w:rPr>
          <w:rFonts w:hint="eastAsia"/>
          <w:sz w:val="28"/>
          <w:szCs w:val="28"/>
        </w:rPr>
        <w:t>1</w:t>
      </w:r>
      <w:r>
        <w:rPr>
          <w:sz w:val="28"/>
          <w:szCs w:val="28"/>
        </w:rPr>
        <w:t xml:space="preserve"> </w:t>
      </w:r>
      <w:r>
        <w:rPr>
          <w:rFonts w:hint="eastAsia"/>
          <w:sz w:val="28"/>
          <w:szCs w:val="28"/>
          <w:lang w:eastAsia="zh-CN"/>
        </w:rPr>
        <w:t xml:space="preserve">#110bis-e    </w:t>
      </w:r>
      <w:r>
        <w:rPr>
          <w:sz w:val="28"/>
          <w:szCs w:val="28"/>
          <w:lang w:eastAsia="zh-CN"/>
        </w:rPr>
        <w:t xml:space="preserve"> </w:t>
      </w:r>
      <w:r>
        <w:rPr>
          <w:rFonts w:hint="eastAsia"/>
          <w:sz w:val="28"/>
          <w:szCs w:val="28"/>
          <w:lang w:eastAsia="zh-CN"/>
        </w:rPr>
        <w:t xml:space="preserve">     </w:t>
      </w:r>
      <w:r>
        <w:rPr>
          <w:sz w:val="28"/>
          <w:szCs w:val="28"/>
          <w:lang w:eastAsia="zh-CN"/>
        </w:rPr>
        <w:t xml:space="preserve">   </w:t>
      </w:r>
      <w:r>
        <w:rPr>
          <w:rFonts w:hint="eastAsia"/>
          <w:sz w:val="28"/>
          <w:szCs w:val="28"/>
          <w:lang w:eastAsia="zh-CN"/>
        </w:rPr>
        <w:t xml:space="preserve">         R1-2209199</w:t>
      </w:r>
      <w:r>
        <w:rPr>
          <w:sz w:val="28"/>
          <w:szCs w:val="28"/>
          <w:lang w:eastAsia="zh-CN"/>
        </w:rPr>
        <w:t xml:space="preserve">          </w:t>
      </w:r>
    </w:p>
    <w:bookmarkEnd w:id="0"/>
    <w:p>
      <w:pPr>
        <w:tabs>
          <w:tab w:val="center" w:pos="4536"/>
          <w:tab w:val="right" w:pos="9072"/>
        </w:tabs>
        <w:outlineLvl w:val="0"/>
        <w:rPr>
          <w:rFonts w:ascii="Arial" w:hAnsi="Arial"/>
          <w:b/>
          <w:sz w:val="28"/>
          <w:szCs w:val="28"/>
        </w:rPr>
      </w:pPr>
      <w:r>
        <w:rPr>
          <w:rFonts w:ascii="Arial" w:hAnsi="Arial" w:eastAsia="MS Mincho" w:cs="Arial"/>
          <w:b/>
          <w:bCs/>
          <w:sz w:val="28"/>
          <w:lang w:eastAsia="ja-JP"/>
        </w:rPr>
        <w:t xml:space="preserve">e-Meeting, </w:t>
      </w:r>
      <w:bookmarkStart w:id="5" w:name="OLE_LINK37"/>
      <w:r>
        <w:rPr>
          <w:rFonts w:hint="eastAsia" w:ascii="Arial" w:hAnsi="Arial" w:cs="Arial"/>
          <w:b/>
          <w:bCs/>
          <w:sz w:val="28"/>
        </w:rPr>
        <w:t>October 10</w:t>
      </w:r>
      <w:r>
        <w:rPr>
          <w:rFonts w:hint="eastAsia" w:ascii="Arial" w:hAnsi="Arial" w:cs="Arial"/>
          <w:b/>
          <w:bCs/>
          <w:sz w:val="28"/>
          <w:vertAlign w:val="superscript"/>
        </w:rPr>
        <w:t>th</w:t>
      </w:r>
      <w:r>
        <w:rPr>
          <w:rFonts w:ascii="Arial" w:hAnsi="Arial" w:eastAsia="MS Mincho" w:cs="Arial"/>
          <w:b/>
          <w:bCs/>
          <w:sz w:val="28"/>
          <w:lang w:eastAsia="ja-JP"/>
        </w:rPr>
        <w:t xml:space="preserve"> – </w:t>
      </w:r>
      <w:r>
        <w:rPr>
          <w:rFonts w:hint="eastAsia" w:ascii="Arial" w:hAnsi="Arial" w:cs="Arial"/>
          <w:b/>
          <w:bCs/>
          <w:sz w:val="28"/>
        </w:rPr>
        <w:t>19</w:t>
      </w:r>
      <w:r>
        <w:rPr>
          <w:rFonts w:hint="eastAsia" w:ascii="Arial" w:hAnsi="Arial" w:cs="Arial"/>
          <w:b/>
          <w:bCs/>
          <w:sz w:val="28"/>
          <w:vertAlign w:val="superscript"/>
        </w:rPr>
        <w:t>th</w:t>
      </w:r>
      <w:r>
        <w:rPr>
          <w:rFonts w:ascii="Arial" w:hAnsi="Arial" w:eastAsia="MS Mincho" w:cs="Arial"/>
          <w:b/>
          <w:bCs/>
          <w:sz w:val="28"/>
          <w:lang w:eastAsia="ja-JP"/>
        </w:rPr>
        <w:t>, 202</w:t>
      </w:r>
      <w:r>
        <w:rPr>
          <w:rFonts w:hint="eastAsia" w:ascii="Arial" w:hAnsi="Arial" w:cs="Arial"/>
          <w:b/>
          <w:bCs/>
          <w:sz w:val="28"/>
        </w:rPr>
        <w:t>2</w:t>
      </w:r>
      <w:bookmarkEnd w:id="5"/>
    </w:p>
    <w:p>
      <w:pPr>
        <w:pStyle w:val="25"/>
        <w:tabs>
          <w:tab w:val="clear" w:pos="4536"/>
        </w:tabs>
        <w:rPr>
          <w:sz w:val="24"/>
          <w:szCs w:val="22"/>
        </w:rPr>
      </w:pPr>
    </w:p>
    <w:p>
      <w:pPr>
        <w:pStyle w:val="25"/>
        <w:tabs>
          <w:tab w:val="clear" w:pos="4536"/>
        </w:tabs>
        <w:outlineLvl w:val="0"/>
        <w:rPr>
          <w:sz w:val="24"/>
          <w:szCs w:val="22"/>
          <w:lang w:eastAsia="zh-CN"/>
        </w:rPr>
      </w:pPr>
      <w:r>
        <w:rPr>
          <w:sz w:val="24"/>
          <w:szCs w:val="22"/>
        </w:rPr>
        <w:t>Source:</w:t>
      </w:r>
      <w:r>
        <w:rPr>
          <w:rFonts w:hint="eastAsia"/>
          <w:sz w:val="24"/>
          <w:szCs w:val="22"/>
          <w:lang w:eastAsia="zh-CN"/>
        </w:rPr>
        <w:t xml:space="preserve">          </w:t>
      </w:r>
      <w:r>
        <w:rPr>
          <w:sz w:val="24"/>
          <w:szCs w:val="22"/>
        </w:rPr>
        <w:t>ZTE</w:t>
      </w:r>
      <w:r>
        <w:rPr>
          <w:rFonts w:hint="eastAsia"/>
          <w:sz w:val="24"/>
          <w:szCs w:val="22"/>
          <w:lang w:eastAsia="zh-CN"/>
        </w:rPr>
        <w:t xml:space="preserve">, </w:t>
      </w:r>
      <w:r>
        <w:rPr>
          <w:rFonts w:hint="eastAsia"/>
          <w:sz w:val="24"/>
          <w:szCs w:val="22"/>
        </w:rPr>
        <w:t>Sanechips</w:t>
      </w:r>
    </w:p>
    <w:p>
      <w:pPr>
        <w:pStyle w:val="25"/>
        <w:tabs>
          <w:tab w:val="clear" w:pos="4536"/>
        </w:tabs>
        <w:ind w:left="1928" w:hanging="1928" w:hangingChars="800"/>
        <w:outlineLvl w:val="0"/>
        <w:rPr>
          <w:sz w:val="24"/>
          <w:szCs w:val="22"/>
          <w:lang w:eastAsia="zh-CN"/>
        </w:rPr>
      </w:pPr>
      <w:r>
        <w:rPr>
          <w:sz w:val="24"/>
          <w:szCs w:val="22"/>
        </w:rPr>
        <w:t>Title:</w:t>
      </w:r>
      <w:r>
        <w:rPr>
          <w:rFonts w:hint="eastAsia"/>
          <w:sz w:val="24"/>
          <w:szCs w:val="22"/>
        </w:rPr>
        <w:t xml:space="preserve">  </w:t>
      </w:r>
      <w:r>
        <w:rPr>
          <w:rFonts w:hint="eastAsia"/>
          <w:sz w:val="24"/>
          <w:szCs w:val="22"/>
          <w:lang w:eastAsia="zh-CN"/>
        </w:rPr>
        <w:t xml:space="preserve">           Evaluation on LP-WUS </w:t>
      </w:r>
    </w:p>
    <w:p>
      <w:pPr>
        <w:pStyle w:val="25"/>
        <w:tabs>
          <w:tab w:val="clear" w:pos="4536"/>
        </w:tabs>
        <w:outlineLvl w:val="0"/>
        <w:rPr>
          <w:sz w:val="24"/>
          <w:szCs w:val="22"/>
          <w:lang w:eastAsia="zh-CN"/>
        </w:rPr>
      </w:pPr>
      <w:r>
        <w:rPr>
          <w:sz w:val="24"/>
          <w:szCs w:val="22"/>
        </w:rPr>
        <w:t>Agenda item:</w:t>
      </w:r>
      <w:r>
        <w:rPr>
          <w:rFonts w:hint="eastAsia"/>
          <w:sz w:val="24"/>
          <w:szCs w:val="22"/>
        </w:rPr>
        <w:t xml:space="preserve">     </w:t>
      </w:r>
      <w:r>
        <w:rPr>
          <w:rFonts w:hint="eastAsia"/>
          <w:sz w:val="24"/>
          <w:szCs w:val="22"/>
          <w:lang w:eastAsia="zh-CN"/>
        </w:rPr>
        <w:t>9.13.1</w:t>
      </w:r>
    </w:p>
    <w:p>
      <w:pPr>
        <w:pStyle w:val="25"/>
        <w:tabs>
          <w:tab w:val="clear" w:pos="4536"/>
        </w:tabs>
        <w:outlineLvl w:val="0"/>
        <w:rPr>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pPr>
        <w:pBdr>
          <w:bottom w:val="single" w:color="auto" w:sz="4" w:space="1"/>
        </w:pBdr>
        <w:tabs>
          <w:tab w:val="left" w:pos="2552"/>
        </w:tabs>
        <w:rPr>
          <w:sz w:val="24"/>
        </w:rPr>
      </w:pPr>
    </w:p>
    <w:p>
      <w:pPr>
        <w:pStyle w:val="2"/>
        <w:spacing w:before="120" w:beforeLines="50" w:after="120" w:afterLines="50" w:line="360" w:lineRule="auto"/>
        <w:ind w:left="431" w:hanging="431"/>
        <w:rPr>
          <w:sz w:val="32"/>
          <w:szCs w:val="32"/>
          <w:lang w:val="en-US"/>
        </w:rPr>
      </w:pPr>
      <w:r>
        <w:rPr>
          <w:rFonts w:hint="eastAsia"/>
          <w:sz w:val="32"/>
          <w:szCs w:val="32"/>
          <w:lang w:val="en-US"/>
        </w:rPr>
        <w:t>Introduction</w:t>
      </w:r>
    </w:p>
    <w:p>
      <w:pPr>
        <w:overflowPunct w:val="0"/>
        <w:autoSpaceDE w:val="0"/>
        <w:autoSpaceDN w:val="0"/>
        <w:adjustRightInd w:val="0"/>
        <w:spacing w:before="120" w:beforeLines="50" w:afterLines="50"/>
        <w:ind w:right="-99"/>
        <w:textAlignment w:val="baseline"/>
        <w:rPr>
          <w:szCs w:val="20"/>
        </w:rPr>
      </w:pPr>
      <w:r>
        <w:rPr>
          <w:szCs w:val="20"/>
          <w:lang w:eastAsia="ja-JP"/>
        </w:rPr>
        <w:t xml:space="preserve">In </w:t>
      </w:r>
      <w:r>
        <w:rPr>
          <w:szCs w:val="20"/>
        </w:rPr>
        <w:t>RAN #</w:t>
      </w:r>
      <w:r>
        <w:rPr>
          <w:rFonts w:hint="eastAsia"/>
          <w:szCs w:val="20"/>
        </w:rPr>
        <w:t>94</w:t>
      </w:r>
      <w:r>
        <w:rPr>
          <w:szCs w:val="20"/>
        </w:rPr>
        <w:t xml:space="preserve"> meeting¸ new study item on </w:t>
      </w:r>
      <w:r>
        <w:t xml:space="preserve">low-power Wake-up Signal and Receiver for NR </w:t>
      </w:r>
      <w:r>
        <w:rPr>
          <w:rFonts w:hint="eastAsia"/>
          <w:szCs w:val="20"/>
        </w:rPr>
        <w:t>[1]</w:t>
      </w:r>
      <w:r>
        <w:rPr>
          <w:szCs w:val="20"/>
        </w:rPr>
        <w:t xml:space="preserve"> was approved</w:t>
      </w:r>
      <w:r>
        <w:rPr>
          <w:rFonts w:hint="eastAsia"/>
          <w:szCs w:val="20"/>
        </w:rPr>
        <w:t xml:space="preserve"> and the latest revision was approved in [2]</w:t>
      </w:r>
      <w:r>
        <w:rPr>
          <w:szCs w:val="20"/>
        </w:rPr>
        <w:t xml:space="preserve">. </w:t>
      </w:r>
    </w:p>
    <w:p>
      <w:pPr>
        <w:ind w:right="-99"/>
        <w:rPr>
          <w:b/>
          <w:bCs/>
          <w:lang w:eastAsia="ja-JP"/>
        </w:rPr>
      </w:pPr>
      <w:r>
        <w:rPr>
          <w:b/>
          <w:bCs/>
          <w:lang w:eastAsia="ja-JP"/>
        </w:rPr>
        <w:t>The study item includes the following objectives:</w:t>
      </w:r>
    </w:p>
    <w:p>
      <w:pPr>
        <w:numPr>
          <w:ilvl w:val="0"/>
          <w:numId w:val="7"/>
        </w:numPr>
        <w:ind w:right="-99"/>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pPr>
        <w:numPr>
          <w:ilvl w:val="1"/>
          <w:numId w:val="7"/>
        </w:numPr>
        <w:ind w:right="-99"/>
        <w:rPr>
          <w:lang w:eastAsia="ja-JP"/>
        </w:rPr>
      </w:pPr>
      <w:bookmarkStart w:id="6" w:name="OLE_LINK23"/>
      <w:r>
        <w:rPr>
          <w:lang w:eastAsia="ja-JP"/>
        </w:rPr>
        <w:t>Primarily target low-power WUS/WUR for power-sensitive, small form-factor devices including IoT use cases (such as industrial sensors, controllers) and wearables</w:t>
      </w:r>
      <w:bookmarkEnd w:id="6"/>
    </w:p>
    <w:p>
      <w:pPr>
        <w:numPr>
          <w:ilvl w:val="2"/>
          <w:numId w:val="7"/>
        </w:numPr>
        <w:ind w:right="-99"/>
        <w:rPr>
          <w:lang w:eastAsia="ja-JP"/>
        </w:rPr>
      </w:pPr>
      <w:r>
        <w:rPr>
          <w:lang w:eastAsia="ja-JP"/>
        </w:rPr>
        <w:t>Other use cases are not precluded</w:t>
      </w:r>
    </w:p>
    <w:p>
      <w:pPr>
        <w:numPr>
          <w:ilvl w:val="0"/>
          <w:numId w:val="7"/>
        </w:numPr>
        <w:ind w:right="-99"/>
        <w:rPr>
          <w:lang w:eastAsia="ja-JP"/>
        </w:rPr>
      </w:pPr>
      <w:r>
        <w:rPr>
          <w:rFonts w:hint="eastAsia"/>
          <w:lang w:eastAsia="ja-JP"/>
        </w:rPr>
        <w:t xml:space="preserve">Study and evaluate low-power wake-up receiver architectures [RAN1, RAN4] </w:t>
      </w:r>
    </w:p>
    <w:p>
      <w:pPr>
        <w:numPr>
          <w:ilvl w:val="0"/>
          <w:numId w:val="7"/>
        </w:numPr>
        <w:ind w:right="-99"/>
        <w:rPr>
          <w:lang w:eastAsia="ja-JP"/>
        </w:rPr>
      </w:pPr>
      <w:r>
        <w:rPr>
          <w:rFonts w:hint="eastAsia"/>
          <w:lang w:eastAsia="ja-JP"/>
        </w:rPr>
        <w:t xml:space="preserve">Study and evaluate wake-up signal designs to support wake-up receivers [RAN1, RAN4] </w:t>
      </w:r>
    </w:p>
    <w:p>
      <w:pPr>
        <w:numPr>
          <w:ilvl w:val="0"/>
          <w:numId w:val="7"/>
        </w:numPr>
        <w:ind w:right="-99"/>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pPr>
        <w:numPr>
          <w:ilvl w:val="0"/>
          <w:numId w:val="7"/>
        </w:numPr>
        <w:ind w:right="-99"/>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pPr>
        <w:numPr>
          <w:ilvl w:val="1"/>
          <w:numId w:val="7"/>
        </w:numPr>
        <w:ind w:right="-99"/>
        <w:rPr>
          <w:lang w:eastAsia="ja-JP"/>
        </w:rPr>
      </w:pPr>
      <w:r>
        <w:t xml:space="preserve">Note: The need for RAN2 evaluation will be triggered by RAN1 when necessary. </w:t>
      </w:r>
    </w:p>
    <w:p>
      <w:pPr>
        <w:spacing w:before="120" w:beforeLines="50" w:after="240" w:afterLines="100" w:line="276" w:lineRule="auto"/>
        <w:rPr>
          <w:szCs w:val="20"/>
        </w:rPr>
      </w:pPr>
      <w:r>
        <w:rPr>
          <w:szCs w:val="20"/>
        </w:rPr>
        <w:t>In this contribution, we discuss</w:t>
      </w:r>
      <w:bookmarkStart w:id="7" w:name="OLE_LINK22"/>
      <w:r>
        <w:rPr>
          <w:szCs w:val="20"/>
        </w:rPr>
        <w:t xml:space="preserve"> </w:t>
      </w:r>
      <w:r>
        <w:rPr>
          <w:rFonts w:hint="eastAsia"/>
          <w:szCs w:val="20"/>
        </w:rPr>
        <w:t>evaluation on LP-WUS.</w:t>
      </w:r>
      <w:bookmarkEnd w:id="7"/>
    </w:p>
    <w:p>
      <w:pPr>
        <w:pStyle w:val="2"/>
        <w:spacing w:before="120" w:beforeLines="50" w:after="120" w:afterLines="50" w:line="360" w:lineRule="auto"/>
        <w:ind w:left="431" w:hanging="431"/>
        <w:rPr>
          <w:sz w:val="32"/>
          <w:szCs w:val="32"/>
          <w:lang w:val="en-US"/>
        </w:rPr>
      </w:pPr>
      <w:r>
        <w:rPr>
          <w:rFonts w:hint="eastAsia"/>
          <w:sz w:val="32"/>
          <w:szCs w:val="32"/>
          <w:lang w:val="en-US"/>
        </w:rPr>
        <w:t>Use cases</w:t>
      </w:r>
      <w:r>
        <w:rPr>
          <w:sz w:val="32"/>
          <w:szCs w:val="32"/>
          <w:lang w:val="en-US"/>
        </w:rPr>
        <w:t xml:space="preserve">, </w:t>
      </w:r>
      <w:r>
        <w:rPr>
          <w:rFonts w:hint="eastAsia"/>
          <w:sz w:val="32"/>
          <w:szCs w:val="32"/>
          <w:lang w:val="en-US"/>
        </w:rPr>
        <w:t>KPI</w:t>
      </w:r>
      <w:r>
        <w:rPr>
          <w:sz w:val="32"/>
          <w:szCs w:val="32"/>
          <w:lang w:val="en-US"/>
        </w:rPr>
        <w:t xml:space="preserve"> and s</w:t>
      </w:r>
      <w:r>
        <w:rPr>
          <w:rFonts w:hint="eastAsia"/>
          <w:sz w:val="32"/>
          <w:szCs w:val="32"/>
          <w:lang w:val="en-US"/>
        </w:rPr>
        <w:t>cenarios</w:t>
      </w:r>
    </w:p>
    <w:p>
      <w:r>
        <w:rPr>
          <w:rFonts w:hint="eastAsia"/>
        </w:rPr>
        <w:t>The introduction of LP-WUS is mainly to reduce UE power consumption. Therefore, LP-WUS is applicable for</w:t>
      </w:r>
    </w:p>
    <w:p>
      <w:r>
        <w:rPr>
          <w:rFonts w:hint="eastAsia"/>
        </w:rPr>
        <w:t xml:space="preserve">power-sensitive devices including IoT use cases, wearables and health monitoring devices. Other use cases such as </w:t>
      </w:r>
      <w:r>
        <w:t>XR/smart glasses, smart phones</w:t>
      </w:r>
      <w:r>
        <w:rPr>
          <w:rFonts w:hint="eastAsia"/>
        </w:rPr>
        <w:t xml:space="preserve">, are also not precluded according to the SID. </w:t>
      </w:r>
    </w:p>
    <w:p>
      <w:r>
        <w:rPr>
          <w:rFonts w:hint="eastAsia"/>
        </w:rPr>
        <w:t xml:space="preserve">Moreover, according to the RAN conclusion, we </w:t>
      </w:r>
      <w:r>
        <w:t>should</w:t>
      </w:r>
      <w:r>
        <w:rPr>
          <w:rFonts w:hint="eastAsia"/>
        </w:rPr>
        <w:t xml:space="preserve"> focus on the NR devices. And IoT use cases including wearables and health monitoring devices are targeted for RedCap. Based on the RedCap studied in TR38.875, the traffic model and power consumption </w:t>
      </w:r>
      <w:r>
        <w:t xml:space="preserve">model </w:t>
      </w:r>
      <w:r>
        <w:rPr>
          <w:rFonts w:hint="eastAsia"/>
        </w:rPr>
        <w:t>can be reused. Similar, if XR/smart glasses or smart phones are considered as the use cases for LP-WUS, the</w:t>
      </w:r>
      <w:r>
        <w:t xml:space="preserve"> </w:t>
      </w:r>
      <w:r>
        <w:rPr>
          <w:rFonts w:hint="eastAsia"/>
        </w:rPr>
        <w:t xml:space="preserve">corresponding traffic model and power consumption </w:t>
      </w:r>
      <w:r>
        <w:t xml:space="preserve">model </w:t>
      </w:r>
      <w:r>
        <w:rPr>
          <w:rFonts w:hint="eastAsia"/>
        </w:rPr>
        <w:t xml:space="preserve">should be considered. </w:t>
      </w:r>
    </w:p>
    <w:p>
      <w:r>
        <w:rPr>
          <w:rFonts w:hint="eastAsia"/>
        </w:rPr>
        <w:t>Regarding the power consumption for each use case, different use cases ha</w:t>
      </w:r>
      <w:r>
        <w:t>ve</w:t>
      </w:r>
      <w:r>
        <w:rPr>
          <w:rFonts w:hint="eastAsia"/>
        </w:rPr>
        <w:t xml:space="preserve"> different traffic models due to the different </w:t>
      </w:r>
      <w:r>
        <w:t>applications</w:t>
      </w:r>
      <w:r>
        <w:rPr>
          <w:rFonts w:hint="eastAsia"/>
        </w:rPr>
        <w:t>. Further</w:t>
      </w:r>
      <w:r>
        <w:t>more</w:t>
      </w:r>
      <w:r>
        <w:rPr>
          <w:rFonts w:hint="eastAsia"/>
        </w:rPr>
        <w:t>, f</w:t>
      </w:r>
      <w:r>
        <w:rPr>
          <w:szCs w:val="20"/>
          <w:lang w:val="en-GB"/>
        </w:rPr>
        <w:t>rom Rel-15-&gt;Rel-1</w:t>
      </w:r>
      <w:r>
        <w:rPr>
          <w:rFonts w:hint="eastAsia"/>
          <w:szCs w:val="20"/>
        </w:rPr>
        <w:t>7</w:t>
      </w:r>
      <w:r>
        <w:rPr>
          <w:szCs w:val="20"/>
          <w:lang w:val="en-GB"/>
        </w:rPr>
        <w:t xml:space="preserve">, the </w:t>
      </w:r>
      <w:r>
        <w:rPr>
          <w:szCs w:val="20"/>
        </w:rPr>
        <w:t>connected mode energy consumption reduces by</w:t>
      </w:r>
      <w:r>
        <w:rPr>
          <w:rFonts w:hint="eastAsia"/>
          <w:szCs w:val="20"/>
        </w:rPr>
        <w:t xml:space="preserve"> more than </w:t>
      </w:r>
      <w:r>
        <w:rPr>
          <w:szCs w:val="20"/>
        </w:rPr>
        <w:t>50%.</w:t>
      </w:r>
      <w:r>
        <w:rPr>
          <w:rFonts w:hint="eastAsia"/>
        </w:rPr>
        <w:t xml:space="preserve"> Therefore, the assumption for the power consumption ratio of RRC idle mode and connected mode would be an important aspect to reflect the whole power saving gain for a use case, where different use case</w:t>
      </w:r>
      <w:r>
        <w:t>s</w:t>
      </w:r>
      <w:r>
        <w:rPr>
          <w:rFonts w:hint="eastAsia"/>
        </w:rPr>
        <w:t xml:space="preserve"> ha</w:t>
      </w:r>
      <w:r>
        <w:t>ve</w:t>
      </w:r>
      <w:r>
        <w:rPr>
          <w:rFonts w:hint="eastAsia"/>
        </w:rPr>
        <w:t xml:space="preserve"> different power consumption ratio </w:t>
      </w:r>
      <w:r>
        <w:t>of</w:t>
      </w:r>
      <w:r>
        <w:rPr>
          <w:rFonts w:hint="eastAsia"/>
        </w:rPr>
        <w:t xml:space="preserve"> idle mode </w:t>
      </w:r>
      <w:r>
        <w:t>to</w:t>
      </w:r>
      <w:r>
        <w:rPr>
          <w:rFonts w:hint="eastAsia"/>
        </w:rPr>
        <w:t xml:space="preserve"> connected mode.  </w:t>
      </w:r>
    </w:p>
    <w:p>
      <w:pPr>
        <w:rPr>
          <w:b/>
          <w:bCs/>
          <w:i/>
          <w:iCs/>
        </w:rPr>
      </w:pPr>
      <w:r>
        <w:rPr>
          <w:rFonts w:hint="eastAsia"/>
          <w:b/>
          <w:bCs/>
          <w:i/>
          <w:iCs/>
        </w:rPr>
        <w:t>Proposal 1: The following aspects should be considered for any studied use case for LP-WUS</w:t>
      </w:r>
    </w:p>
    <w:p>
      <w:pPr>
        <w:numPr>
          <w:ilvl w:val="0"/>
          <w:numId w:val="8"/>
        </w:numPr>
        <w:rPr>
          <w:b/>
          <w:bCs/>
          <w:i/>
          <w:iCs/>
        </w:rPr>
      </w:pPr>
      <w:r>
        <w:rPr>
          <w:rFonts w:hint="eastAsia"/>
          <w:b/>
          <w:bCs/>
          <w:i/>
          <w:iCs/>
        </w:rPr>
        <w:t>Traffic model</w:t>
      </w:r>
    </w:p>
    <w:p>
      <w:pPr>
        <w:numPr>
          <w:ilvl w:val="0"/>
          <w:numId w:val="8"/>
        </w:numPr>
        <w:rPr>
          <w:b/>
          <w:bCs/>
          <w:i/>
          <w:iCs/>
        </w:rPr>
      </w:pPr>
      <w:r>
        <w:rPr>
          <w:b/>
          <w:bCs/>
          <w:i/>
          <w:iCs/>
        </w:rPr>
        <w:t xml:space="preserve">Power consumption ratio of idle </w:t>
      </w:r>
      <w:r>
        <w:rPr>
          <w:rFonts w:hint="eastAsia"/>
          <w:b/>
          <w:bCs/>
          <w:i/>
          <w:iCs/>
        </w:rPr>
        <w:t xml:space="preserve">mode and connected mode </w:t>
      </w:r>
    </w:p>
    <w:p>
      <w:r>
        <w:rPr>
          <w:rFonts w:hint="eastAsia"/>
        </w:rPr>
        <w:t>According to the SID, the main KPIs of LP-WUS include UE power saving gain, latency</w:t>
      </w:r>
      <w:r>
        <w:t xml:space="preserve"> and</w:t>
      </w:r>
      <w:r>
        <w:rPr>
          <w:rFonts w:hint="eastAsia"/>
        </w:rPr>
        <w:t xml:space="preserve"> coverage. And the impact on network coverage, coexistence with legacy UE, network power consumption, and resource overhead should be also considered. More specifically, the power saving gain and the latency may be the core benefits for LP-WUS. For the coverage, it is expected the LP-WUS coverage can be comparable with the NR channels</w:t>
      </w:r>
      <w:r>
        <w:t>.</w:t>
      </w:r>
      <w:r>
        <w:rPr>
          <w:rFonts w:hint="eastAsia"/>
        </w:rPr>
        <w:t xml:space="preserve"> </w:t>
      </w:r>
      <w:r>
        <w:t>T</w:t>
      </w:r>
      <w:r>
        <w:rPr>
          <w:rFonts w:hint="eastAsia"/>
        </w:rPr>
        <w:t>he</w:t>
      </w:r>
      <w:r>
        <w:t>n</w:t>
      </w:r>
      <w:r>
        <w:rPr>
          <w:rFonts w:hint="eastAsia"/>
        </w:rPr>
        <w:t xml:space="preserve"> LP-WUS could have wider application. For the system impacts, the coexistence should be guaranteed and the impacts of power consumption, resource overhead, network capacity also should be minimized.</w:t>
      </w:r>
    </w:p>
    <w:p>
      <w:r>
        <w:rPr>
          <w:rFonts w:hint="eastAsia"/>
        </w:rPr>
        <w:t>Additionally, for the LP-WUS, the false alarm rate, m</w:t>
      </w:r>
      <w:r>
        <w:t>iss</w:t>
      </w:r>
      <w:r>
        <w:rPr>
          <w:rFonts w:hint="eastAsia"/>
        </w:rPr>
        <w:t xml:space="preserve"> </w:t>
      </w:r>
      <w:r>
        <w:t xml:space="preserve">detection rate and </w:t>
      </w:r>
      <w:r>
        <w:rPr>
          <w:rFonts w:hint="eastAsia"/>
        </w:rPr>
        <w:t>sync performance, would be key metrics to be evaluated. With the LP-WUS receiver, the device size or complexity also would be increased.</w:t>
      </w:r>
    </w:p>
    <w:p>
      <w:pPr>
        <w:rPr>
          <w:b/>
          <w:bCs/>
          <w:i/>
          <w:iCs/>
        </w:rPr>
      </w:pPr>
      <w:r>
        <w:rPr>
          <w:rFonts w:hint="eastAsia"/>
          <w:b/>
          <w:bCs/>
          <w:i/>
          <w:iCs/>
        </w:rPr>
        <w:t>Proposal 2: The following KPIs of LP-WUS should be considered</w:t>
      </w:r>
    </w:p>
    <w:p>
      <w:pPr>
        <w:numPr>
          <w:ilvl w:val="0"/>
          <w:numId w:val="8"/>
        </w:numPr>
        <w:rPr>
          <w:b/>
          <w:bCs/>
          <w:i/>
          <w:iCs/>
        </w:rPr>
      </w:pPr>
      <w:r>
        <w:rPr>
          <w:rFonts w:hint="eastAsia"/>
          <w:b/>
          <w:bCs/>
          <w:i/>
          <w:iCs/>
        </w:rPr>
        <w:t>For UE side</w:t>
      </w:r>
    </w:p>
    <w:p>
      <w:pPr>
        <w:numPr>
          <w:ilvl w:val="0"/>
          <w:numId w:val="9"/>
        </w:numPr>
        <w:rPr>
          <w:b/>
          <w:bCs/>
          <w:i/>
          <w:iCs/>
        </w:rPr>
      </w:pPr>
      <w:r>
        <w:rPr>
          <w:rFonts w:hint="eastAsia"/>
          <w:b/>
          <w:bCs/>
          <w:i/>
          <w:iCs/>
        </w:rPr>
        <w:t>Power saving gain</w:t>
      </w:r>
    </w:p>
    <w:p>
      <w:pPr>
        <w:numPr>
          <w:ilvl w:val="0"/>
          <w:numId w:val="9"/>
        </w:numPr>
        <w:rPr>
          <w:b/>
          <w:bCs/>
          <w:i/>
          <w:iCs/>
        </w:rPr>
      </w:pPr>
      <w:r>
        <w:rPr>
          <w:rFonts w:hint="eastAsia"/>
          <w:b/>
          <w:bCs/>
          <w:i/>
          <w:iCs/>
        </w:rPr>
        <w:t>Latency</w:t>
      </w:r>
    </w:p>
    <w:p>
      <w:pPr>
        <w:numPr>
          <w:ilvl w:val="0"/>
          <w:numId w:val="9"/>
        </w:numPr>
        <w:rPr>
          <w:b/>
          <w:bCs/>
          <w:i/>
          <w:iCs/>
        </w:rPr>
      </w:pPr>
      <w:r>
        <w:rPr>
          <w:rFonts w:hint="eastAsia"/>
          <w:b/>
          <w:bCs/>
          <w:i/>
          <w:iCs/>
        </w:rPr>
        <w:t>Complexity increase</w:t>
      </w:r>
    </w:p>
    <w:p>
      <w:pPr>
        <w:numPr>
          <w:ilvl w:val="0"/>
          <w:numId w:val="8"/>
        </w:numPr>
        <w:rPr>
          <w:b/>
          <w:bCs/>
          <w:i/>
          <w:iCs/>
        </w:rPr>
      </w:pPr>
      <w:r>
        <w:rPr>
          <w:rFonts w:hint="eastAsia"/>
          <w:b/>
          <w:bCs/>
          <w:i/>
          <w:iCs/>
        </w:rPr>
        <w:t>For gNB side</w:t>
      </w:r>
    </w:p>
    <w:p>
      <w:pPr>
        <w:numPr>
          <w:ilvl w:val="0"/>
          <w:numId w:val="9"/>
        </w:numPr>
        <w:rPr>
          <w:b/>
          <w:bCs/>
          <w:i/>
          <w:iCs/>
        </w:rPr>
      </w:pPr>
      <w:r>
        <w:rPr>
          <w:rFonts w:hint="eastAsia"/>
          <w:b/>
          <w:bCs/>
          <w:i/>
          <w:iCs/>
        </w:rPr>
        <w:t>Coverage</w:t>
      </w:r>
    </w:p>
    <w:p>
      <w:pPr>
        <w:numPr>
          <w:ilvl w:val="0"/>
          <w:numId w:val="9"/>
        </w:numPr>
        <w:rPr>
          <w:b/>
          <w:bCs/>
          <w:i/>
          <w:iCs/>
        </w:rPr>
      </w:pPr>
      <w:r>
        <w:rPr>
          <w:rFonts w:hint="eastAsia"/>
          <w:b/>
          <w:bCs/>
          <w:i/>
          <w:iCs/>
        </w:rPr>
        <w:t>Co-existence</w:t>
      </w:r>
    </w:p>
    <w:p>
      <w:pPr>
        <w:numPr>
          <w:ilvl w:val="0"/>
          <w:numId w:val="9"/>
        </w:numPr>
        <w:rPr>
          <w:b/>
          <w:bCs/>
          <w:i/>
          <w:iCs/>
        </w:rPr>
      </w:pPr>
      <w:r>
        <w:rPr>
          <w:rFonts w:hint="eastAsia"/>
          <w:b/>
          <w:bCs/>
          <w:i/>
          <w:iCs/>
        </w:rPr>
        <w:t>Network power consumption/resource overhead/capacity</w:t>
      </w:r>
    </w:p>
    <w:p>
      <w:pPr>
        <w:numPr>
          <w:ilvl w:val="0"/>
          <w:numId w:val="8"/>
        </w:numPr>
        <w:rPr>
          <w:b/>
          <w:bCs/>
          <w:i/>
          <w:iCs/>
        </w:rPr>
      </w:pPr>
      <w:r>
        <w:rPr>
          <w:rFonts w:hint="eastAsia"/>
          <w:b/>
          <w:bCs/>
          <w:i/>
          <w:iCs/>
        </w:rPr>
        <w:t>For LP-WUS</w:t>
      </w:r>
    </w:p>
    <w:p>
      <w:pPr>
        <w:numPr>
          <w:ilvl w:val="0"/>
          <w:numId w:val="9"/>
        </w:numPr>
        <w:rPr>
          <w:b/>
          <w:bCs/>
          <w:i/>
          <w:iCs/>
        </w:rPr>
      </w:pPr>
      <w:r>
        <w:rPr>
          <w:rFonts w:hint="eastAsia"/>
          <w:b/>
          <w:bCs/>
          <w:i/>
          <w:iCs/>
        </w:rPr>
        <w:t>False alarm rate</w:t>
      </w:r>
    </w:p>
    <w:p>
      <w:pPr>
        <w:numPr>
          <w:ilvl w:val="0"/>
          <w:numId w:val="9"/>
        </w:numPr>
        <w:rPr>
          <w:b/>
          <w:bCs/>
          <w:i/>
          <w:iCs/>
        </w:rPr>
      </w:pPr>
      <w:r>
        <w:rPr>
          <w:rFonts w:hint="eastAsia"/>
          <w:b/>
          <w:bCs/>
          <w:i/>
          <w:iCs/>
        </w:rPr>
        <w:t>Miss detection rate/BLER</w:t>
      </w:r>
    </w:p>
    <w:p>
      <w:pPr>
        <w:numPr>
          <w:ilvl w:val="0"/>
          <w:numId w:val="9"/>
        </w:numPr>
        <w:rPr>
          <w:b/>
          <w:bCs/>
          <w:i/>
          <w:iCs/>
        </w:rPr>
      </w:pPr>
      <w:r>
        <w:rPr>
          <w:rFonts w:hint="eastAsia"/>
          <w:b/>
          <w:bCs/>
          <w:i/>
          <w:iCs/>
        </w:rPr>
        <w:t>Sync performance</w:t>
      </w:r>
    </w:p>
    <w:p>
      <w:r>
        <w:rPr>
          <w:rFonts w:hint="eastAsia"/>
        </w:rPr>
        <w:t xml:space="preserve">Considering the use cases including IoT use cases and wearables, the baseline deployment scenarios similar as RedCap may include Urban, Rural and Indoor deployment scenarios. However, it is noted that the coverage of LP-WUS is limited by the UE receiver sensitivity of low-power wake-up receiver. Especially for the </w:t>
      </w:r>
      <w:r>
        <w:t>large-scale</w:t>
      </w:r>
      <w:r>
        <w:rPr>
          <w:rFonts w:hint="eastAsia"/>
        </w:rPr>
        <w:t xml:space="preserve"> case, the LP-WUS may have worse coverage performance. Therefore, it is suggested to simplify the evaluation for each deployment</w:t>
      </w:r>
      <w:r>
        <w:t xml:space="preserve"> to reduce the workload</w:t>
      </w:r>
      <w:r>
        <w:rPr>
          <w:rFonts w:hint="eastAsia"/>
        </w:rPr>
        <w:t xml:space="preserve"> if all the scenarios, Urban, Rural and Indoor deployment scenario, are considered for study. </w:t>
      </w:r>
    </w:p>
    <w:p>
      <w:pPr>
        <w:rPr>
          <w:b/>
          <w:bCs/>
          <w:i/>
          <w:iCs/>
        </w:rPr>
      </w:pPr>
      <w:r>
        <w:rPr>
          <w:rFonts w:hint="eastAsia"/>
          <w:b/>
          <w:bCs/>
          <w:i/>
          <w:iCs/>
        </w:rPr>
        <w:t>Proposal 3: The deployment scenarios for LP-WUS includes Urban, Rural and Indoor.</w:t>
      </w:r>
    </w:p>
    <w:p>
      <w:pPr>
        <w:numPr>
          <w:ilvl w:val="0"/>
          <w:numId w:val="10"/>
        </w:numPr>
        <w:spacing w:before="120" w:beforeLines="50" w:after="240"/>
        <w:rPr>
          <w:b/>
          <w:bCs/>
          <w:i/>
          <w:iCs/>
        </w:rPr>
      </w:pPr>
      <w:r>
        <w:rPr>
          <w:rFonts w:hint="eastAsia"/>
          <w:b/>
          <w:bCs/>
          <w:i/>
          <w:iCs/>
        </w:rPr>
        <w:t>Further discuss and decide which deployment can be optionally evaluated.</w:t>
      </w:r>
    </w:p>
    <w:p>
      <w:pPr>
        <w:pStyle w:val="2"/>
        <w:spacing w:before="120" w:beforeLines="50" w:after="120" w:afterLines="50" w:line="360" w:lineRule="auto"/>
        <w:ind w:left="431" w:hanging="431"/>
        <w:rPr>
          <w:sz w:val="32"/>
          <w:szCs w:val="32"/>
          <w:lang w:val="en-US"/>
        </w:rPr>
      </w:pPr>
      <w:r>
        <w:rPr>
          <w:rFonts w:hint="eastAsia"/>
          <w:sz w:val="32"/>
          <w:szCs w:val="32"/>
          <w:lang w:val="en-US"/>
        </w:rPr>
        <w:t>Evaluation for UE power consumption</w:t>
      </w:r>
    </w:p>
    <w:p>
      <w:pPr>
        <w:rPr>
          <w:szCs w:val="20"/>
        </w:rPr>
      </w:pPr>
      <w:r>
        <w:rPr>
          <w:szCs w:val="20"/>
        </w:rPr>
        <w:t xml:space="preserve">The use case of LP-WUS in RRC connected mode includes XR application according to the SID. For XR service, the </w:t>
      </w:r>
      <w:r>
        <w:rPr>
          <w:rFonts w:hint="eastAsia"/>
          <w:szCs w:val="20"/>
        </w:rPr>
        <w:t xml:space="preserve">evaluation </w:t>
      </w:r>
      <w:r>
        <w:rPr>
          <w:szCs w:val="20"/>
        </w:rPr>
        <w:t>methodology including DL/UL traffic, PDB requirement, and power consumption model has been studied in Rel-17 and captured in TR38.838</w:t>
      </w:r>
      <w:r>
        <w:rPr>
          <w:rFonts w:hint="eastAsia"/>
          <w:szCs w:val="20"/>
        </w:rPr>
        <w:t>,</w:t>
      </w:r>
      <w:r>
        <w:rPr>
          <w:szCs w:val="20"/>
        </w:rPr>
        <w:t xml:space="preserve"> which can be reused for LP-WUS study.</w:t>
      </w:r>
    </w:p>
    <w:p>
      <w:pPr>
        <w:rPr>
          <w:szCs w:val="24"/>
        </w:rPr>
      </w:pPr>
      <w:r>
        <w:rPr>
          <w:szCs w:val="20"/>
        </w:rPr>
        <w:t xml:space="preserve">Based on the XR study in Rel-17, the XR packet size follows truncated Gaussian distribution. </w:t>
      </w:r>
      <w:r>
        <w:rPr>
          <w:rFonts w:hint="eastAsia"/>
          <w:szCs w:val="20"/>
        </w:rPr>
        <w:t>M</w:t>
      </w:r>
      <w:r>
        <w:rPr>
          <w:szCs w:val="20"/>
        </w:rPr>
        <w:t xml:space="preserve">oreover, the data arrival is determined by </w:t>
      </w:r>
      <w:r>
        <w:t>frame generation rate and jitter as shown in Figure 1, where the jitter also follows truncated Gaussian distribution. And the truncated range of jitter is assumed to be [-4ms, 4ms] in the baseline. However, in a real system, larger jitter range also exists based on SA4</w:t>
      </w:r>
      <w:r>
        <w:rPr>
          <w:rFonts w:hint="eastAsia"/>
          <w:lang w:val="en-US" w:eastAsia="zh-CN"/>
        </w:rPr>
        <w:t xml:space="preserve"> </w:t>
      </w:r>
      <w:r>
        <w:t xml:space="preserve">study. Therefore, if </w:t>
      </w:r>
      <w:r>
        <w:rPr>
          <w:szCs w:val="20"/>
        </w:rPr>
        <w:t xml:space="preserve">XR service is evaluated in the LP-WUS, whether the parameters such as jitter range need to be </w:t>
      </w:r>
      <w:r>
        <w:rPr>
          <w:rFonts w:hint="eastAsia"/>
          <w:szCs w:val="20"/>
          <w:lang w:val="en-US" w:eastAsia="zh-CN"/>
        </w:rPr>
        <w:t xml:space="preserve">updated </w:t>
      </w:r>
      <w:r>
        <w:rPr>
          <w:szCs w:val="20"/>
        </w:rPr>
        <w:t>can be discussed.</w:t>
      </w:r>
    </w:p>
    <w:p>
      <w:pPr>
        <w:rPr>
          <w:b/>
          <w:bCs/>
          <w:i/>
          <w:iCs/>
        </w:rPr>
      </w:pPr>
      <w:r>
        <w:rPr>
          <w:rFonts w:hint="eastAsia"/>
          <w:b/>
          <w:bCs/>
          <w:i/>
          <w:iCs/>
        </w:rPr>
        <w:t xml:space="preserve">Proposal </w:t>
      </w:r>
      <w:r>
        <w:rPr>
          <w:b/>
          <w:bCs/>
          <w:i/>
          <w:iCs/>
        </w:rPr>
        <w:t>4</w:t>
      </w:r>
      <w:r>
        <w:rPr>
          <w:rFonts w:hint="eastAsia"/>
          <w:b/>
          <w:bCs/>
          <w:i/>
          <w:iCs/>
        </w:rPr>
        <w:t xml:space="preserve">: </w:t>
      </w:r>
      <w:r>
        <w:rPr>
          <w:b/>
          <w:bCs/>
          <w:i/>
          <w:iCs/>
        </w:rPr>
        <w:t>If XR service is considered in LP-WUS study, the evaluation methodology in TR 38.838 can be reused.</w:t>
      </w:r>
    </w:p>
    <w:p>
      <w:pPr>
        <w:numPr>
          <w:ilvl w:val="0"/>
          <w:numId w:val="10"/>
        </w:numPr>
        <w:spacing w:before="120" w:beforeLines="50" w:after="240"/>
        <w:rPr>
          <w:b/>
          <w:bCs/>
          <w:i/>
          <w:iCs/>
        </w:rPr>
      </w:pPr>
      <w:r>
        <w:rPr>
          <w:rFonts w:hint="eastAsia"/>
          <w:b/>
          <w:bCs/>
          <w:i/>
          <w:iCs/>
        </w:rPr>
        <w:t>F</w:t>
      </w:r>
      <w:r>
        <w:rPr>
          <w:b/>
          <w:bCs/>
          <w:i/>
          <w:iCs/>
        </w:rPr>
        <w:t>FS</w:t>
      </w:r>
      <w:r>
        <w:rPr>
          <w:rFonts w:hint="eastAsia"/>
          <w:b/>
          <w:bCs/>
          <w:i/>
          <w:iCs/>
        </w:rPr>
        <w:t xml:space="preserve"> </w:t>
      </w:r>
      <w:r>
        <w:rPr>
          <w:b/>
          <w:bCs/>
          <w:i/>
          <w:iCs/>
        </w:rPr>
        <w:t>parameters</w:t>
      </w:r>
      <w:r>
        <w:rPr>
          <w:rFonts w:hint="eastAsia"/>
          <w:b/>
          <w:bCs/>
          <w:i/>
          <w:iCs/>
          <w:lang w:val="en-US" w:eastAsia="zh-CN"/>
        </w:rPr>
        <w:t>,</w:t>
      </w:r>
      <w:r>
        <w:rPr>
          <w:b/>
          <w:bCs/>
          <w:i/>
          <w:iCs/>
        </w:rPr>
        <w:t xml:space="preserve"> such as jitter range</w:t>
      </w:r>
      <w:r>
        <w:rPr>
          <w:rFonts w:hint="eastAsia"/>
          <w:b/>
          <w:bCs/>
          <w:i/>
          <w:iCs/>
          <w:lang w:val="en-US" w:eastAsia="zh-CN"/>
        </w:rPr>
        <w:t>,</w:t>
      </w:r>
      <w:r>
        <w:rPr>
          <w:b/>
          <w:bCs/>
          <w:i/>
          <w:iCs/>
        </w:rPr>
        <w:t xml:space="preserve"> need to be </w:t>
      </w:r>
      <w:r>
        <w:rPr>
          <w:rFonts w:hint="eastAsia"/>
          <w:b/>
          <w:bCs/>
          <w:i/>
          <w:iCs/>
        </w:rPr>
        <w:t>updated</w:t>
      </w:r>
      <w:r>
        <w:rPr>
          <w:b/>
          <w:bCs/>
          <w:i/>
          <w:iCs/>
        </w:rPr>
        <w:t>.</w:t>
      </w:r>
    </w:p>
    <w:p>
      <w:pPr>
        <w:rPr>
          <w:szCs w:val="20"/>
        </w:rPr>
      </w:pPr>
    </w:p>
    <w:p>
      <w:pPr>
        <w:pStyle w:val="92"/>
        <w:ind w:left="400" w:hanging="400"/>
        <w:rPr>
          <w:szCs w:val="24"/>
        </w:rPr>
      </w:pPr>
      <w:r>
        <w:drawing>
          <wp:inline distT="0" distB="0" distL="0" distR="0">
            <wp:extent cx="3192145" cy="949960"/>
            <wp:effectExtent l="0" t="0" r="8255" b="2540"/>
            <wp:docPr id="1" name="图片 1" descr="C:\Users\00206166\AppData\Local\Temp\ksohtml176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06166\AppData\Local\Temp\ksohtml1760\wps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199010" cy="952318"/>
                    </a:xfrm>
                    <a:prstGeom prst="rect">
                      <a:avLst/>
                    </a:prstGeom>
                    <a:noFill/>
                    <a:ln>
                      <a:noFill/>
                    </a:ln>
                  </pic:spPr>
                </pic:pic>
              </a:graphicData>
            </a:graphic>
          </wp:inline>
        </w:drawing>
      </w:r>
    </w:p>
    <w:p>
      <w:pPr>
        <w:pStyle w:val="128"/>
        <w:ind w:left="400" w:hanging="400"/>
        <w:rPr>
          <w:rFonts w:ascii="Times New Roman" w:hAnsi="Times New Roman"/>
          <w:b w:val="0"/>
          <w:lang w:val="en-US" w:eastAsia="zh-CN"/>
        </w:rPr>
      </w:pPr>
      <w:r>
        <w:rPr>
          <w:rFonts w:ascii="Times New Roman" w:hAnsi="Times New Roman"/>
          <w:b w:val="0"/>
          <w:lang w:val="en-US" w:eastAsia="zh-CN"/>
        </w:rPr>
        <w:t>Figure 1 XR DL traffic model</w:t>
      </w:r>
    </w:p>
    <w:p>
      <w:pPr>
        <w:rPr>
          <w:szCs w:val="20"/>
        </w:rPr>
      </w:pPr>
      <w:r>
        <w:rPr>
          <w:rFonts w:hint="eastAsia"/>
          <w:szCs w:val="20"/>
        </w:rPr>
        <w:t>For RRC idle/inactive mode, the existing UE power consumption evaluation method in Rel-17 PEI, e.g., numerical calculation can be reused to evaluate the power consumption for LP-WUS. A simple way to calculate the UE power consumption is:</w:t>
      </w:r>
    </w:p>
    <w:p>
      <w:pPr>
        <w:jc w:val="center"/>
        <w:rPr>
          <w:rFonts w:hAnsi="Cambria Math"/>
          <w:szCs w:val="20"/>
        </w:rPr>
      </w:pPr>
      <m:oMathPara>
        <m:oMath>
          <m:sSub>
            <m:sSubPr>
              <m:ctrlPr>
                <w:rPr>
                  <w:rFonts w:ascii="Cambria Math" w:hAnsi="Cambria Math"/>
                  <w:i/>
                  <w:szCs w:val="20"/>
                </w:rPr>
              </m:ctrlPr>
            </m:sSubPr>
            <m:e>
              <m:r>
                <w:rPr>
                  <w:rFonts w:ascii="Cambria Math" w:hAnsi="Cambria Math"/>
                  <w:szCs w:val="20"/>
                </w:rPr>
                <m:t>E</m:t>
              </m:r>
              <m:ctrlPr>
                <w:rPr>
                  <w:rFonts w:ascii="Cambria Math" w:hAnsi="Cambria Math"/>
                  <w:i/>
                  <w:szCs w:val="20"/>
                </w:rPr>
              </m:ctrlPr>
            </m:e>
            <m:sub>
              <m:r>
                <w:rPr>
                  <w:rFonts w:ascii="Cambria Math" w:hAnsi="Cambria Math"/>
                  <w:szCs w:val="20"/>
                </w:rPr>
                <m:t>total</m:t>
              </m:r>
              <m:ctrlPr>
                <w:rPr>
                  <w:rFonts w:ascii="Cambria Math" w:hAnsi="Cambria Math"/>
                  <w:i/>
                  <w:szCs w:val="20"/>
                </w:rPr>
              </m:ctrlP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r>
            <w:rPr>
              <w:rFonts w:ascii="Cambria Math" w:hAnsi="Cambria Math"/>
              <w:szCs w:val="20"/>
            </w:rPr>
            <m:t>+</m:t>
          </m:r>
          <m:sSubSup>
            <m:sSubSupPr>
              <m:ctrlPr>
                <w:rPr>
                  <w:rFonts w:hint="eastAsia" w:ascii="Cambria Math" w:hAnsi="Cambria Math"/>
                  <w:i/>
                  <w:szCs w:val="20"/>
                </w:rPr>
              </m:ctrlPr>
            </m:sSubSupPr>
            <m:e>
              <m:r>
                <w:rPr>
                  <w:rFonts w:ascii="Cambria Math" w:hAnsi="Cambria Math"/>
                  <w:szCs w:val="20"/>
                </w:rPr>
                <m:t>E</m:t>
              </m:r>
              <m:ctrlPr>
                <w:rPr>
                  <w:rFonts w:hint="eastAsia" w:ascii="Cambria Math" w:hAnsi="Cambria Math"/>
                  <w:i/>
                  <w:szCs w:val="20"/>
                </w:rPr>
              </m:ctrlPr>
            </m:e>
            <m:sub>
              <m:ctrlPr>
                <w:rPr>
                  <w:rFonts w:hint="eastAsia" w:ascii="Cambria Math" w:hAnsi="Cambria Math"/>
                  <w:i/>
                  <w:szCs w:val="20"/>
                </w:rPr>
              </m:ctrlPr>
            </m:sub>
            <m:sup>
              <m:r>
                <w:rPr>
                  <w:rFonts w:ascii="Cambria Math" w:hAnsi="Cambria Math"/>
                  <w:szCs w:val="20"/>
                </w:rPr>
                <m:t>WUR</m:t>
              </m:r>
              <m:ctrlPr>
                <w:rPr>
                  <w:rFonts w:hint="eastAsia"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measurment</m:t>
              </m:r>
              <m:ctrlPr>
                <w:rPr>
                  <w:rFonts w:ascii="Cambria Math" w:hAnsi="Cambria Math"/>
                  <w:i/>
                  <w:szCs w:val="20"/>
                </w:rPr>
              </m:ctrlPr>
            </m:sub>
            <m:sup>
              <m:ctrlPr>
                <w:rPr>
                  <w:rFonts w:ascii="Cambria Math" w:hAnsi="Cambria Math"/>
                  <w:i/>
                  <w:szCs w:val="20"/>
                </w:rPr>
              </m:ctrlPr>
            </m:sup>
          </m:sSubSup>
        </m:oMath>
      </m:oMathPara>
    </w:p>
    <w:p>
      <w:pPr>
        <w:rPr>
          <w:rFonts w:hAnsi="Cambria Math"/>
          <w:szCs w:val="20"/>
        </w:rPr>
      </w:pP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oMath>
      <w:r>
        <w:rPr>
          <w:rFonts w:hint="eastAsia"/>
          <w:szCs w:val="20"/>
        </w:rPr>
        <w:t xml:space="preserve">is the power consumption of main radio, and above formula can be further expanded as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SSB</m:t>
            </m:r>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PDCCH</m:t>
            </m:r>
            <m:r>
              <w:rPr>
                <w:rFonts w:hint="eastAsia" w:ascii="Cambria Math" w:hAnsi="Cambria Math"/>
                <w:szCs w:val="20"/>
              </w:rPr>
              <m:t>+</m:t>
            </m:r>
            <m:r>
              <w:rPr>
                <w:rFonts w:ascii="Cambria Math" w:hAnsi="Cambria Math"/>
                <w:szCs w:val="20"/>
              </w:rPr>
              <m:t>PDSCH</m:t>
            </m:r>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r>
          <w:rPr>
            <w:rFonts w:hint="eastAsia" w:ascii="Cambria Math" w:hAnsi="Cambria Math"/>
            <w:szCs w:val="20"/>
          </w:rPr>
          <m:t>+</m:t>
        </m:r>
        <m:sSubSup>
          <m:sSubSupPr>
            <m:ctrlPr>
              <w:rPr>
                <w:rFonts w:hint="eastAsia" w:ascii="Cambria Math" w:hAnsi="Cambria Math"/>
                <w:i/>
                <w:szCs w:val="20"/>
              </w:rPr>
            </m:ctrlPr>
          </m:sSubSupPr>
          <m:e>
            <m:r>
              <w:rPr>
                <w:rFonts w:ascii="Cambria Math" w:hAnsi="Cambria Math"/>
                <w:szCs w:val="20"/>
              </w:rPr>
              <m:t>E</m:t>
            </m:r>
            <m:ctrlPr>
              <w:rPr>
                <w:rFonts w:hint="eastAsia" w:ascii="Cambria Math" w:hAnsi="Cambria Math"/>
                <w:i/>
                <w:szCs w:val="20"/>
              </w:rPr>
            </m:ctrlPr>
          </m:e>
          <m:sub>
            <m:r>
              <w:rPr>
                <w:rFonts w:ascii="Cambria Math" w:hAnsi="Cambria Math"/>
                <w:szCs w:val="20"/>
              </w:rPr>
              <m:t>sleep</m:t>
            </m:r>
            <m:ctrlPr>
              <w:rPr>
                <w:rFonts w:hint="eastAsia" w:ascii="Cambria Math" w:hAnsi="Cambria Math"/>
                <w:i/>
                <w:szCs w:val="20"/>
              </w:rPr>
            </m:ctrlPr>
          </m:sub>
          <m:sup>
            <m:r>
              <w:rPr>
                <w:rFonts w:ascii="Cambria Math" w:hAnsi="Cambria Math"/>
                <w:szCs w:val="20"/>
              </w:rPr>
              <m:t>MR</m:t>
            </m:r>
            <m:ctrlPr>
              <w:rPr>
                <w:rFonts w:hint="eastAsia" w:ascii="Cambria Math" w:hAnsi="Cambria Math"/>
                <w:i/>
                <w:szCs w:val="20"/>
              </w:rPr>
            </m:ctrlPr>
          </m:sup>
        </m:sSubSup>
        <m:r>
          <w:rPr>
            <w:rFonts w:hint="eastAsia" w:ascii="Cambria Math" w:hAnsi="Cambria Math"/>
            <w:szCs w:val="20"/>
          </w:rPr>
          <m:t>+</m:t>
        </m:r>
        <m:sSubSup>
          <m:sSubSupPr>
            <m:ctrlPr>
              <w:rPr>
                <w:rFonts w:hint="eastAsia" w:ascii="Cambria Math" w:hAnsi="Cambria Math"/>
                <w:i/>
                <w:szCs w:val="20"/>
              </w:rPr>
            </m:ctrlPr>
          </m:sSubSupPr>
          <m:e>
            <m:r>
              <w:rPr>
                <w:rFonts w:ascii="Cambria Math" w:hAnsi="Cambria Math"/>
                <w:szCs w:val="20"/>
              </w:rPr>
              <m:t>E</m:t>
            </m:r>
            <m:ctrlPr>
              <w:rPr>
                <w:rFonts w:hint="eastAsia" w:ascii="Cambria Math" w:hAnsi="Cambria Math"/>
                <w:i/>
                <w:szCs w:val="20"/>
              </w:rPr>
            </m:ctrlPr>
          </m:e>
          <m:sub>
            <m:r>
              <w:rPr>
                <w:rFonts w:ascii="Cambria Math" w:hAnsi="Cambria Math"/>
                <w:szCs w:val="20"/>
              </w:rPr>
              <m:t>off</m:t>
            </m:r>
            <m:ctrlPr>
              <w:rPr>
                <w:rFonts w:hint="eastAsia" w:ascii="Cambria Math" w:hAnsi="Cambria Math"/>
                <w:i/>
                <w:szCs w:val="20"/>
              </w:rPr>
            </m:ctrlPr>
          </m:sub>
          <m:sup>
            <m:r>
              <w:rPr>
                <w:rFonts w:ascii="Cambria Math" w:hAnsi="Cambria Math"/>
                <w:szCs w:val="20"/>
              </w:rPr>
              <m:t>MR</m:t>
            </m:r>
            <m:ctrlPr>
              <w:rPr>
                <w:rFonts w:hint="eastAsia" w:ascii="Cambria Math" w:hAnsi="Cambria Math"/>
                <w:i/>
                <w:szCs w:val="20"/>
              </w:rPr>
            </m:ctrlPr>
          </m:sup>
        </m:sSubSup>
        <m:r>
          <w:rPr>
            <w:rFonts w:hint="eastAsia" w:ascii="Cambria Math" w:hAnsi="Cambria Math"/>
            <w:szCs w:val="20"/>
          </w:rPr>
          <m:t>+</m:t>
        </m:r>
        <m:sSubSup>
          <m:sSubSupPr>
            <m:ctrlPr>
              <w:rPr>
                <w:rFonts w:hint="eastAsia" w:ascii="Cambria Math" w:hAnsi="Cambria Math"/>
                <w:i/>
                <w:szCs w:val="20"/>
              </w:rPr>
            </m:ctrlPr>
          </m:sSubSupPr>
          <m:e>
            <m:r>
              <w:rPr>
                <w:rFonts w:ascii="Cambria Math" w:hAnsi="Cambria Math"/>
                <w:szCs w:val="20"/>
              </w:rPr>
              <m:t>E</m:t>
            </m:r>
            <m:ctrlPr>
              <w:rPr>
                <w:rFonts w:hint="eastAsia" w:ascii="Cambria Math" w:hAnsi="Cambria Math"/>
                <w:i/>
                <w:szCs w:val="20"/>
              </w:rPr>
            </m:ctrlPr>
          </m:e>
          <m:sub>
            <m:r>
              <w:rPr>
                <w:rFonts w:ascii="Cambria Math" w:hAnsi="Cambria Math"/>
                <w:szCs w:val="20"/>
              </w:rPr>
              <m:t>state transition</m:t>
            </m:r>
            <m:ctrlPr>
              <w:rPr>
                <w:rFonts w:hint="eastAsia" w:ascii="Cambria Math" w:hAnsi="Cambria Math"/>
                <w:i/>
                <w:szCs w:val="20"/>
              </w:rPr>
            </m:ctrlPr>
          </m:sub>
          <m:sup>
            <m:r>
              <w:rPr>
                <w:rFonts w:ascii="Cambria Math" w:hAnsi="Cambria Math"/>
                <w:szCs w:val="20"/>
              </w:rPr>
              <m:t>MR</m:t>
            </m:r>
            <m:ctrlPr>
              <w:rPr>
                <w:rFonts w:hint="eastAsia" w:ascii="Cambria Math" w:hAnsi="Cambria Math"/>
                <w:i/>
                <w:szCs w:val="20"/>
              </w:rPr>
            </m:ctrlPr>
          </m:sup>
        </m:sSubSup>
      </m:oMath>
      <w:r>
        <w:rPr>
          <w:rFonts w:hint="eastAsia" w:hAnsi="Cambria Math"/>
          <w:szCs w:val="20"/>
        </w:rPr>
        <w:t xml:space="preserve">. If PO is not detected,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PDCCH</m:t>
            </m:r>
            <m:r>
              <w:rPr>
                <w:rFonts w:hint="eastAsia" w:ascii="Cambria Math" w:hAnsi="Cambria Math"/>
                <w:szCs w:val="20"/>
              </w:rPr>
              <m:t>+</m:t>
            </m:r>
            <m:r>
              <w:rPr>
                <w:rFonts w:ascii="Cambria Math" w:hAnsi="Cambria Math"/>
                <w:szCs w:val="20"/>
              </w:rPr>
              <m:t>PDSCH</m:t>
            </m:r>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oMath>
      <w:r>
        <w:rPr>
          <w:rFonts w:hint="eastAsia" w:hAnsi="Cambria Math"/>
          <w:szCs w:val="20"/>
        </w:rPr>
        <w:t xml:space="preserve">=0. The number of SSBs before PO depends on the CFO requirement of main radio. </w:t>
      </w:r>
      <m:oMath>
        <m:sSubSup>
          <m:sSubSupPr>
            <m:ctrlPr>
              <w:rPr>
                <w:rFonts w:hint="eastAsia" w:ascii="Cambria Math" w:hAnsi="Cambria Math"/>
                <w:i/>
                <w:szCs w:val="20"/>
              </w:rPr>
            </m:ctrlPr>
          </m:sSubSupPr>
          <m:e>
            <m:r>
              <w:rPr>
                <w:rFonts w:ascii="Cambria Math" w:hAnsi="Cambria Math"/>
                <w:szCs w:val="20"/>
              </w:rPr>
              <m:t>E</m:t>
            </m:r>
            <m:ctrlPr>
              <w:rPr>
                <w:rFonts w:hint="eastAsia" w:ascii="Cambria Math" w:hAnsi="Cambria Math"/>
                <w:i/>
                <w:szCs w:val="20"/>
              </w:rPr>
            </m:ctrlPr>
          </m:e>
          <m:sub>
            <m:r>
              <w:rPr>
                <w:rFonts w:ascii="Cambria Math" w:hAnsi="Cambria Math"/>
                <w:szCs w:val="20"/>
              </w:rPr>
              <m:t>state transition</m:t>
            </m:r>
            <m:ctrlPr>
              <w:rPr>
                <w:rFonts w:hint="eastAsia" w:ascii="Cambria Math" w:hAnsi="Cambria Math"/>
                <w:i/>
                <w:szCs w:val="20"/>
              </w:rPr>
            </m:ctrlPr>
          </m:sub>
          <m:sup>
            <m:r>
              <w:rPr>
                <w:rFonts w:ascii="Cambria Math" w:hAnsi="Cambria Math"/>
                <w:szCs w:val="20"/>
              </w:rPr>
              <m:t>MR</m:t>
            </m:r>
            <m:ctrlPr>
              <w:rPr>
                <w:rFonts w:hint="eastAsia" w:ascii="Cambria Math" w:hAnsi="Cambria Math"/>
                <w:i/>
                <w:szCs w:val="20"/>
              </w:rPr>
            </m:ctrlPr>
          </m:sup>
        </m:sSubSup>
      </m:oMath>
      <w:r>
        <w:rPr>
          <w:rFonts w:hint="eastAsia" w:hAnsi="Cambria Math"/>
          <w:szCs w:val="20"/>
        </w:rPr>
        <w:t>is the total power consumption of all state transition.</w:t>
      </w:r>
      <m:oMath>
        <m:sSubSup>
          <m:sSubSupPr>
            <m:ctrlPr>
              <w:rPr>
                <w:rFonts w:hint="eastAsia" w:ascii="Cambria Math" w:hAnsi="Cambria Math"/>
                <w:i/>
                <w:szCs w:val="20"/>
              </w:rPr>
            </m:ctrlPr>
          </m:sSubSupPr>
          <m:e>
            <m:r>
              <w:rPr>
                <w:rFonts w:ascii="Cambria Math" w:hAnsi="Cambria Math"/>
                <w:szCs w:val="20"/>
              </w:rPr>
              <m:t xml:space="preserve"> E</m:t>
            </m:r>
            <m:ctrlPr>
              <w:rPr>
                <w:rFonts w:hint="eastAsia" w:ascii="Cambria Math" w:hAnsi="Cambria Math"/>
                <w:i/>
                <w:szCs w:val="20"/>
              </w:rPr>
            </m:ctrlPr>
          </m:e>
          <m:sub>
            <m:r>
              <w:rPr>
                <w:rFonts w:ascii="Cambria Math" w:hAnsi="Cambria Math"/>
                <w:szCs w:val="20"/>
              </w:rPr>
              <m:t>off</m:t>
            </m:r>
            <m:ctrlPr>
              <w:rPr>
                <w:rFonts w:hint="eastAsia" w:ascii="Cambria Math" w:hAnsi="Cambria Math"/>
                <w:i/>
                <w:szCs w:val="20"/>
              </w:rPr>
            </m:ctrlPr>
          </m:sub>
          <m:sup>
            <m:r>
              <w:rPr>
                <w:rFonts w:ascii="Cambria Math" w:hAnsi="Cambria Math"/>
                <w:szCs w:val="20"/>
              </w:rPr>
              <m:t>MR</m:t>
            </m:r>
            <m:ctrlPr>
              <w:rPr>
                <w:rFonts w:hint="eastAsia" w:ascii="Cambria Math" w:hAnsi="Cambria Math"/>
                <w:i/>
                <w:szCs w:val="20"/>
              </w:rPr>
            </m:ctrlPr>
          </m:sup>
        </m:sSubSup>
      </m:oMath>
      <w:r>
        <w:rPr>
          <w:rFonts w:hint="eastAsia" w:hAnsi="Cambria Math"/>
          <w:szCs w:val="20"/>
        </w:rPr>
        <w:t xml:space="preserve"> is the total power consumption of all sleep states for main radio. </w:t>
      </w:r>
      <m:oMath>
        <m:sSubSup>
          <m:sSubSupPr>
            <m:ctrlPr>
              <w:rPr>
                <w:rFonts w:hint="eastAsia" w:ascii="Cambria Math" w:hAnsi="Cambria Math"/>
                <w:i/>
                <w:szCs w:val="20"/>
              </w:rPr>
            </m:ctrlPr>
          </m:sSubSupPr>
          <m:e>
            <m:r>
              <w:rPr>
                <w:rFonts w:ascii="Cambria Math" w:hAnsi="Cambria Math"/>
                <w:szCs w:val="20"/>
              </w:rPr>
              <m:t>E</m:t>
            </m:r>
            <m:ctrlPr>
              <w:rPr>
                <w:rFonts w:hint="eastAsia" w:ascii="Cambria Math" w:hAnsi="Cambria Math"/>
                <w:i/>
                <w:szCs w:val="20"/>
              </w:rPr>
            </m:ctrlPr>
          </m:e>
          <m:sub>
            <m:r>
              <w:rPr>
                <w:rFonts w:ascii="Cambria Math" w:hAnsi="Cambria Math"/>
                <w:szCs w:val="20"/>
              </w:rPr>
              <m:t>off</m:t>
            </m:r>
            <m:ctrlPr>
              <w:rPr>
                <w:rFonts w:hint="eastAsia" w:ascii="Cambria Math" w:hAnsi="Cambria Math"/>
                <w:i/>
                <w:szCs w:val="20"/>
              </w:rPr>
            </m:ctrlPr>
          </m:sub>
          <m:sup>
            <m:r>
              <w:rPr>
                <w:rFonts w:ascii="Cambria Math" w:hAnsi="Cambria Math"/>
                <w:szCs w:val="20"/>
              </w:rPr>
              <m:t>MR</m:t>
            </m:r>
            <m:ctrlPr>
              <w:rPr>
                <w:rFonts w:hint="eastAsia" w:ascii="Cambria Math" w:hAnsi="Cambria Math"/>
                <w:i/>
                <w:szCs w:val="20"/>
              </w:rPr>
            </m:ctrlPr>
          </m:sup>
        </m:sSubSup>
      </m:oMath>
      <w:r>
        <w:rPr>
          <w:rFonts w:hint="eastAsia" w:hAnsi="Cambria Math"/>
          <w:szCs w:val="20"/>
        </w:rPr>
        <w:t xml:space="preserve"> is the power consumption of power off state which is described in 3.1. </w:t>
      </w:r>
    </w:p>
    <w:p>
      <w:pPr>
        <w:rPr>
          <w:rFonts w:hAnsi="Cambria Math"/>
          <w:szCs w:val="20"/>
        </w:rPr>
      </w:pPr>
      <w:r>
        <w:rPr>
          <w:rFonts w:hint="eastAsia" w:hAnsi="Cambria Math"/>
          <w:szCs w:val="20"/>
        </w:rPr>
        <w:t xml:space="preserve">Regarding the power consumption for LP-WUS receiver, </w:t>
      </w:r>
      <w:r>
        <w:rPr>
          <w:rFonts w:hint="eastAsia"/>
          <w:szCs w:val="20"/>
        </w:rPr>
        <w:t xml:space="preserve">there are two kinds of monitoring mechanisms, </w:t>
      </w:r>
      <w:r>
        <w:rPr>
          <w:szCs w:val="20"/>
        </w:rPr>
        <w:t xml:space="preserve">i.e., </w:t>
      </w:r>
      <w:r>
        <w:rPr>
          <w:rFonts w:hint="eastAsia"/>
          <w:szCs w:val="20"/>
        </w:rPr>
        <w:t>always</w:t>
      </w:r>
      <w:r>
        <w:rPr>
          <w:szCs w:val="20"/>
        </w:rPr>
        <w:t>-</w:t>
      </w:r>
      <w:r>
        <w:rPr>
          <w:rFonts w:hint="eastAsia"/>
          <w:szCs w:val="20"/>
        </w:rPr>
        <w:t xml:space="preserve">on and periodic on-off. Based on this, the power consumption for periodic on-off would be </w:t>
      </w:r>
      <m:oMath>
        <m:sSubSup>
          <m:sSubSupPr>
            <m:ctrlPr>
              <w:rPr>
                <w:rFonts w:ascii="Cambria Math" w:hAnsi="Cambria Math"/>
                <w:i/>
                <w:szCs w:val="20"/>
              </w:rPr>
            </m:ctrlPr>
          </m:sSubSupPr>
          <m:e>
            <m:r>
              <w:rPr>
                <w:rFonts w:ascii="Cambria Math" w:hAnsi="Cambria Math"/>
                <w:szCs w:val="20"/>
              </w:rPr>
              <m:t xml:space="preserve"> E</m:t>
            </m:r>
            <m:ctrlPr>
              <w:rPr>
                <w:rFonts w:ascii="Cambria Math" w:hAnsi="Cambria Math"/>
                <w:i/>
                <w:szCs w:val="20"/>
              </w:rPr>
            </m:ctrlPr>
          </m:e>
          <m:sub>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on</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off</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state transition1</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and the power consumption for always-on monitoring would be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on</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state transition2</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on</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and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off</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are power consumption of WUR on state and WUR off state, and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state transition</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is the total power consumption of all state transition. The details </w:t>
      </w:r>
      <w:r>
        <w:rPr>
          <w:rFonts w:hAnsi="Cambria Math"/>
          <w:szCs w:val="20"/>
        </w:rPr>
        <w:t>are</w:t>
      </w:r>
      <w:r>
        <w:rPr>
          <w:rFonts w:hint="eastAsia" w:hAnsi="Cambria Math"/>
          <w:szCs w:val="20"/>
        </w:rPr>
        <w:t xml:space="preserve"> shown in 3.1. Considering different monitoring mechanisms may have different power consumption of state transition,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state transition1</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and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state transition2</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are used for WUR. </w:t>
      </w:r>
    </w:p>
    <w:p>
      <w:pPr>
        <w:rPr>
          <w:rFonts w:hAnsi="Cambria Math"/>
          <w:szCs w:val="20"/>
        </w:rPr>
      </w:pPr>
      <w:r>
        <w:rPr>
          <w:rFonts w:hint="eastAsia" w:hAnsi="Cambria Math"/>
          <w:szCs w:val="20"/>
        </w:rPr>
        <w:t xml:space="preserve">Regarding the power consumption for RRM measurement,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measurment</m:t>
            </m:r>
            <m:ctrlPr>
              <w:rPr>
                <w:rFonts w:ascii="Cambria Math" w:hAnsi="Cambria Math"/>
                <w:i/>
                <w:szCs w:val="20"/>
              </w:rPr>
            </m:ctrlPr>
          </m:sub>
          <m:sup>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measurement</m:t>
            </m:r>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measurement</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 xml:space="preserve">. If RRM measurement is only based on main radio, </w:t>
      </w:r>
      <m:oMath>
        <m:sSubSup>
          <m:sSubSupPr>
            <m:ctrlPr>
              <w:rPr>
                <w:rFonts w:ascii="Cambria Math" w:hAnsi="Cambria Math"/>
                <w:i/>
                <w:szCs w:val="20"/>
              </w:rPr>
            </m:ctrlPr>
          </m:sSubSupPr>
          <m:e>
            <m:r>
              <w:rPr>
                <w:rFonts w:ascii="Cambria Math" w:hAnsi="Cambria Math"/>
                <w:szCs w:val="20"/>
              </w:rPr>
              <m:t>E</m:t>
            </m:r>
            <m:ctrlPr>
              <w:rPr>
                <w:rFonts w:ascii="Cambria Math" w:hAnsi="Cambria Math"/>
                <w:i/>
                <w:szCs w:val="20"/>
              </w:rPr>
            </m:ctrlPr>
          </m:e>
          <m:sub>
            <m:r>
              <w:rPr>
                <w:rFonts w:ascii="Cambria Math" w:hAnsi="Cambria Math"/>
                <w:szCs w:val="20"/>
              </w:rPr>
              <m:t>measurement</m:t>
            </m:r>
            <m:ctrlPr>
              <w:rPr>
                <w:rFonts w:ascii="Cambria Math" w:hAnsi="Cambria Math"/>
                <w:i/>
                <w:szCs w:val="20"/>
              </w:rPr>
            </m:ctrlPr>
          </m:sub>
          <m:sup>
            <m:r>
              <w:rPr>
                <w:rFonts w:ascii="Cambria Math" w:hAnsi="Cambria Math"/>
                <w:szCs w:val="20"/>
              </w:rPr>
              <m:t>WUR</m:t>
            </m:r>
            <m:ctrlPr>
              <w:rPr>
                <w:rFonts w:ascii="Cambria Math" w:hAnsi="Cambria Math"/>
                <w:i/>
                <w:szCs w:val="20"/>
              </w:rPr>
            </m:ctrlPr>
          </m:sup>
        </m:sSubSup>
      </m:oMath>
      <w:r>
        <w:rPr>
          <w:rFonts w:hint="eastAsia" w:hAnsi="Cambria Math"/>
          <w:szCs w:val="20"/>
        </w:rPr>
        <w:t>=0 and if RRM measurement is only based on WUR,</w:t>
      </w:r>
      <m:oMath>
        <m:sSubSup>
          <m:sSubSupPr>
            <m:ctrlPr>
              <w:rPr>
                <w:rFonts w:ascii="Cambria Math" w:hAnsi="Cambria Math"/>
                <w:i/>
                <w:szCs w:val="20"/>
              </w:rPr>
            </m:ctrlPr>
          </m:sSubSupPr>
          <m:e>
            <m:r>
              <w:rPr>
                <w:rFonts w:ascii="Cambria Math" w:hAnsi="Cambria Math"/>
                <w:szCs w:val="20"/>
              </w:rPr>
              <m:t xml:space="preserve"> E</m:t>
            </m:r>
            <m:ctrlPr>
              <w:rPr>
                <w:rFonts w:ascii="Cambria Math" w:hAnsi="Cambria Math"/>
                <w:i/>
                <w:szCs w:val="20"/>
              </w:rPr>
            </m:ctrlPr>
          </m:e>
          <m:sub>
            <m:r>
              <w:rPr>
                <w:rFonts w:ascii="Cambria Math" w:hAnsi="Cambria Math"/>
                <w:szCs w:val="20"/>
              </w:rPr>
              <m:t>measurement</m:t>
            </m:r>
            <m:ctrlPr>
              <w:rPr>
                <w:rFonts w:ascii="Cambria Math" w:hAnsi="Cambria Math"/>
                <w:i/>
                <w:szCs w:val="20"/>
              </w:rPr>
            </m:ctrlPr>
          </m:sub>
          <m:sup>
            <m:r>
              <w:rPr>
                <w:rFonts w:ascii="Cambria Math" w:hAnsi="Cambria Math"/>
                <w:szCs w:val="20"/>
              </w:rPr>
              <m:t>MR</m:t>
            </m:r>
            <m:ctrlPr>
              <w:rPr>
                <w:rFonts w:ascii="Cambria Math" w:hAnsi="Cambria Math"/>
                <w:i/>
                <w:szCs w:val="20"/>
              </w:rPr>
            </m:ctrlPr>
          </m:sup>
        </m:sSubSup>
      </m:oMath>
      <w:r>
        <w:rPr>
          <w:rFonts w:hint="eastAsia" w:hAnsi="Cambria Math"/>
          <w:szCs w:val="20"/>
        </w:rPr>
        <w:t>=0. The details are shown in 3.2.</w:t>
      </w:r>
    </w:p>
    <w:p>
      <w:pPr>
        <w:rPr>
          <w:rFonts w:hAnsi="Cambria Math"/>
          <w:b/>
          <w:bCs/>
          <w:i/>
          <w:iCs/>
          <w:szCs w:val="20"/>
        </w:rPr>
      </w:pPr>
      <w:r>
        <w:rPr>
          <w:rFonts w:hint="eastAsia"/>
          <w:b/>
          <w:bCs/>
          <w:i/>
          <w:iCs/>
          <w:szCs w:val="20"/>
        </w:rPr>
        <w:t xml:space="preserve">Proposal </w:t>
      </w:r>
      <w:r>
        <w:rPr>
          <w:b/>
          <w:bCs/>
          <w:i/>
          <w:iCs/>
          <w:szCs w:val="20"/>
        </w:rPr>
        <w:t>5</w:t>
      </w:r>
      <w:r>
        <w:rPr>
          <w:rFonts w:hint="eastAsia"/>
          <w:b/>
          <w:bCs/>
          <w:i/>
          <w:iCs/>
          <w:szCs w:val="20"/>
        </w:rPr>
        <w:t>: The method to calculate the total power consumption can be based on the power consumption of main radio, t</w:t>
      </w:r>
      <w:r>
        <w:rPr>
          <w:rFonts w:hint="eastAsia" w:hAnsi="Cambria Math"/>
          <w:b/>
          <w:bCs/>
          <w:i/>
          <w:iCs/>
          <w:szCs w:val="20"/>
        </w:rPr>
        <w:t>he power consumption for LP-WUS receiver, and the power consumption for RRM measurement.</w:t>
      </w:r>
    </w:p>
    <w:p>
      <w:pPr>
        <w:jc w:val="center"/>
        <w:rPr>
          <w:rFonts w:ascii="Cambria Math" w:hAnsi="Cambria Math"/>
          <w:b/>
          <w:szCs w:val="20"/>
        </w:rPr>
      </w:pPr>
      <m:oMathPara>
        <m:oMath>
          <m:sSub>
            <m:sSubPr>
              <m:ctrlPr>
                <w:rPr>
                  <w:rFonts w:ascii="Cambria Math" w:hAnsi="Cambria Math"/>
                  <w:b/>
                  <w:i/>
                  <w:szCs w:val="20"/>
                </w:rPr>
              </m:ctrlPr>
            </m:sSub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total</m:t>
              </m:r>
              <m:ctrlPr>
                <w:rPr>
                  <w:rFonts w:ascii="Cambria Math" w:hAnsi="Cambria Math"/>
                  <w:b/>
                  <w:i/>
                  <w:szCs w:val="20"/>
                </w:rPr>
              </m:ctrlPr>
            </m:sub>
          </m:sSub>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ctrlPr>
                <w:rPr>
                  <w:rFonts w:hint="eastAsia" w:ascii="Cambria Math" w:hAnsi="Cambria Math"/>
                  <w:b/>
                  <w:i/>
                  <w:szCs w:val="20"/>
                </w:rPr>
              </m:ctrlPr>
            </m:sub>
            <m:sup>
              <m:r>
                <m:rPr>
                  <m:sty m:val="bi"/>
                </m:rPr>
                <w:rPr>
                  <w:rFonts w:ascii="Cambria Math" w:hAnsi="Cambria Math"/>
                  <w:szCs w:val="20"/>
                </w:rPr>
                <m:t>WUR</m:t>
              </m:r>
              <m:ctrlPr>
                <w:rPr>
                  <w:rFonts w:hint="eastAsia"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measurment</m:t>
              </m:r>
              <m:ctrlPr>
                <w:rPr>
                  <w:rFonts w:ascii="Cambria Math" w:hAnsi="Cambria Math"/>
                  <w:b/>
                  <w:i/>
                  <w:szCs w:val="20"/>
                </w:rPr>
              </m:ctrlPr>
            </m:sub>
            <m:sup>
              <m:ctrlPr>
                <w:rPr>
                  <w:rFonts w:ascii="Cambria Math" w:hAnsi="Cambria Math"/>
                  <w:b/>
                  <w:i/>
                  <w:szCs w:val="20"/>
                </w:rPr>
              </m:ctrlPr>
            </m:sup>
          </m:sSubSup>
        </m:oMath>
      </m:oMathPara>
    </w:p>
    <w:p>
      <w:pPr>
        <w:rPr>
          <w:b/>
          <w:bCs/>
          <w:i/>
          <w:iCs/>
          <w:szCs w:val="20"/>
        </w:rPr>
      </w:pPr>
      <w:r>
        <w:rPr>
          <w:rFonts w:hint="eastAsia"/>
          <w:b/>
          <w:bCs/>
          <w:i/>
          <w:iCs/>
          <w:szCs w:val="20"/>
        </w:rPr>
        <w:t xml:space="preserve">Where, </w:t>
      </w:r>
    </w:p>
    <w:p>
      <w:pPr>
        <w:jc w:val="center"/>
        <w:rPr>
          <w:rFonts w:ascii="Cambria Math" w:hAnsi="Cambria Math"/>
          <w:b/>
          <w:szCs w:val="20"/>
        </w:rPr>
      </w:pPr>
      <m:oMathPara>
        <m:oMath>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SSB</m:t>
              </m:r>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PDCCH+PDSCH</m:t>
              </m:r>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hint="eastAsia"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r>
                <m:rPr>
                  <m:sty m:val="bi"/>
                </m:rPr>
                <w:rPr>
                  <w:rFonts w:ascii="Cambria Math" w:hAnsi="Cambria Math"/>
                  <w:szCs w:val="20"/>
                </w:rPr>
                <m:t>sleep</m:t>
              </m:r>
              <m:ctrlPr>
                <w:rPr>
                  <w:rFonts w:hint="eastAsia" w:ascii="Cambria Math" w:hAnsi="Cambria Math"/>
                  <w:b/>
                  <w:i/>
                  <w:szCs w:val="20"/>
                </w:rPr>
              </m:ctrlPr>
            </m:sub>
            <m:sup>
              <m:r>
                <m:rPr>
                  <m:sty m:val="bi"/>
                </m:rPr>
                <w:rPr>
                  <w:rFonts w:ascii="Cambria Math" w:hAnsi="Cambria Math"/>
                  <w:szCs w:val="20"/>
                </w:rPr>
                <m:t>MR</m:t>
              </m:r>
              <m:ctrlPr>
                <w:rPr>
                  <w:rFonts w:hint="eastAsia" w:ascii="Cambria Math" w:hAnsi="Cambria Math"/>
                  <w:b/>
                  <w:i/>
                  <w:szCs w:val="20"/>
                </w:rPr>
              </m:ctrlPr>
            </m:sup>
          </m:sSubSup>
          <m:r>
            <m:rPr>
              <m:sty m:val="bi"/>
            </m:rPr>
            <w:rPr>
              <w:rFonts w:hint="eastAsia"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r>
                <m:rPr>
                  <m:sty m:val="bi"/>
                </m:rPr>
                <w:rPr>
                  <w:rFonts w:ascii="Cambria Math" w:hAnsi="Cambria Math"/>
                  <w:szCs w:val="20"/>
                </w:rPr>
                <m:t>off</m:t>
              </m:r>
              <m:ctrlPr>
                <w:rPr>
                  <w:rFonts w:hint="eastAsia" w:ascii="Cambria Math" w:hAnsi="Cambria Math"/>
                  <w:b/>
                  <w:i/>
                  <w:szCs w:val="20"/>
                </w:rPr>
              </m:ctrlPr>
            </m:sub>
            <m:sup>
              <m:r>
                <m:rPr>
                  <m:sty m:val="bi"/>
                </m:rPr>
                <w:rPr>
                  <w:rFonts w:ascii="Cambria Math" w:hAnsi="Cambria Math"/>
                  <w:szCs w:val="20"/>
                </w:rPr>
                <m:t>MR</m:t>
              </m:r>
              <m:ctrlPr>
                <w:rPr>
                  <w:rFonts w:hint="eastAsia" w:ascii="Cambria Math" w:hAnsi="Cambria Math"/>
                  <w:b/>
                  <w:i/>
                  <w:szCs w:val="20"/>
                </w:rPr>
              </m:ctrlPr>
            </m:sup>
          </m:sSubSup>
          <m:r>
            <m:rPr>
              <m:sty m:val="bi"/>
            </m:rPr>
            <w:rPr>
              <w:rFonts w:hint="eastAsia"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r>
                <m:rPr>
                  <m:sty m:val="bi"/>
                </m:rPr>
                <w:rPr>
                  <w:rFonts w:ascii="Cambria Math" w:hAnsi="Cambria Math"/>
                  <w:szCs w:val="20"/>
                </w:rPr>
                <m:t>state transition</m:t>
              </m:r>
              <m:ctrlPr>
                <w:rPr>
                  <w:rFonts w:hint="eastAsia" w:ascii="Cambria Math" w:hAnsi="Cambria Math"/>
                  <w:b/>
                  <w:i/>
                  <w:szCs w:val="20"/>
                </w:rPr>
              </m:ctrlPr>
            </m:sub>
            <m:sup>
              <m:r>
                <m:rPr>
                  <m:sty m:val="bi"/>
                </m:rPr>
                <w:rPr>
                  <w:rFonts w:ascii="Cambria Math" w:hAnsi="Cambria Math"/>
                  <w:szCs w:val="20"/>
                </w:rPr>
                <m:t>MR</m:t>
              </m:r>
              <m:ctrlPr>
                <w:rPr>
                  <w:rFonts w:hint="eastAsia" w:ascii="Cambria Math" w:hAnsi="Cambria Math"/>
                  <w:b/>
                  <w:i/>
                  <w:szCs w:val="20"/>
                </w:rPr>
              </m:ctrlPr>
            </m:sup>
          </m:sSubSup>
        </m:oMath>
      </m:oMathPara>
    </w:p>
    <w:p>
      <w:pPr>
        <w:jc w:val="center"/>
        <w:rPr>
          <w:rFonts w:ascii="Cambria Math" w:hAnsi="Cambria Math"/>
          <w:b/>
          <w:szCs w:val="20"/>
        </w:rPr>
      </w:pPr>
      <m:oMath>
        <m:sSubSup>
          <m:sSubSupPr>
            <m:ctrlPr>
              <w:rPr>
                <w:rFonts w:ascii="Cambria Math" w:hAnsi="Cambria Math"/>
                <w:b/>
                <w:i/>
                <w:szCs w:val="20"/>
              </w:rPr>
            </m:ctrlPr>
          </m:sSubSupPr>
          <m:e>
            <m:r>
              <m:rPr>
                <m:sty m:val="bi"/>
              </m:rPr>
              <w:rPr>
                <w:rFonts w:ascii="Cambria Math" w:hAnsi="Cambria Math"/>
                <w:szCs w:val="20"/>
              </w:rPr>
              <m:t xml:space="preserve"> 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on</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off</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state transition1</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oMath>
      <w:r>
        <w:rPr>
          <w:rFonts w:hint="eastAsia" w:ascii="Cambria Math" w:hAnsi="Cambria Math"/>
          <w:szCs w:val="20"/>
        </w:rPr>
        <w:t xml:space="preserve"> </w:t>
      </w:r>
      <w:r>
        <w:rPr>
          <w:rFonts w:ascii="Cambria Math" w:hAnsi="Cambria Math"/>
          <w:b/>
          <w:szCs w:val="20"/>
        </w:rPr>
        <w:t xml:space="preserve">or </w:t>
      </w:r>
      <m:oMath>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on</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state transition2</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oMath>
    </w:p>
    <w:p>
      <w:pPr>
        <w:jc w:val="center"/>
        <w:rPr>
          <w:rFonts w:ascii="Cambria Math" w:hAnsi="Cambria Math"/>
          <w:b/>
          <w:szCs w:val="20"/>
        </w:rPr>
      </w:pPr>
      <m:oMathPara>
        <m:oMath>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measurment</m:t>
              </m:r>
              <m:ctrlPr>
                <w:rPr>
                  <w:rFonts w:ascii="Cambria Math" w:hAnsi="Cambria Math"/>
                  <w:b/>
                  <w:i/>
                  <w:szCs w:val="20"/>
                </w:rPr>
              </m:ctrlPr>
            </m:sub>
            <m:sup>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measurement</m:t>
              </m:r>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measurement</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oMath>
      </m:oMathPara>
    </w:p>
    <w:p>
      <w:pPr>
        <w:rPr>
          <w:szCs w:val="20"/>
        </w:rPr>
      </w:pPr>
      <w:r>
        <w:rPr>
          <w:rFonts w:hint="eastAsia"/>
          <w:szCs w:val="20"/>
        </w:rPr>
        <w:t>To calculate the value of UE power consumption, the following issues including new states for power consumption, RRM measurement and system configurations should be determined.</w:t>
      </w:r>
    </w:p>
    <w:p>
      <w:pPr>
        <w:pStyle w:val="3"/>
        <w:numPr>
          <w:ilvl w:val="1"/>
          <w:numId w:val="1"/>
        </w:numPr>
        <w:ind w:left="567" w:hanging="567"/>
        <w:rPr>
          <w:rFonts w:cs="Arial"/>
          <w:b/>
          <w:bCs/>
          <w:lang w:val="en-US"/>
        </w:rPr>
      </w:pPr>
      <w:bookmarkStart w:id="8" w:name="OLE_LINK19"/>
      <w:bookmarkStart w:id="9" w:name="OLE_LINK32"/>
      <w:r>
        <w:rPr>
          <w:rFonts w:hint="eastAsia" w:cs="Arial"/>
          <w:b/>
          <w:bCs/>
          <w:lang w:val="en-US"/>
        </w:rPr>
        <w:t>UE power consumption model</w:t>
      </w:r>
    </w:p>
    <w:bookmarkEnd w:id="8"/>
    <w:p>
      <w:pPr>
        <w:rPr>
          <w:szCs w:val="20"/>
        </w:rPr>
      </w:pPr>
      <w:r>
        <w:rPr>
          <w:rFonts w:hint="eastAsia"/>
          <w:szCs w:val="20"/>
        </w:rPr>
        <w:t xml:space="preserve">The UE power consumption model was defined in TR38.840. </w:t>
      </w:r>
      <w:r>
        <w:rPr>
          <w:szCs w:val="20"/>
        </w:rPr>
        <w:t>The</w:t>
      </w:r>
      <w:r>
        <w:rPr>
          <w:rFonts w:hint="eastAsia"/>
          <w:szCs w:val="20"/>
        </w:rPr>
        <w:t xml:space="preserve"> power states, </w:t>
      </w:r>
      <w:r>
        <w:rPr>
          <w:szCs w:val="20"/>
        </w:rPr>
        <w:t xml:space="preserve">such as </w:t>
      </w:r>
      <w:r>
        <w:rPr>
          <w:rFonts w:hint="eastAsia"/>
          <w:szCs w:val="20"/>
        </w:rPr>
        <w:t>PDCCH, SSB, PDCC+PDSCH and sleep modes</w:t>
      </w:r>
      <w:r>
        <w:rPr>
          <w:szCs w:val="20"/>
        </w:rPr>
        <w:t>,</w:t>
      </w:r>
      <w:r>
        <w:rPr>
          <w:rFonts w:hint="eastAsia"/>
          <w:szCs w:val="20"/>
        </w:rPr>
        <w:t xml:space="preserve"> can be reused for LP-WUS main radio</w:t>
      </w:r>
      <w:r>
        <w:rPr>
          <w:szCs w:val="20"/>
        </w:rPr>
        <w:t>.</w:t>
      </w:r>
      <w:r>
        <w:rPr>
          <w:rFonts w:hint="eastAsia"/>
          <w:szCs w:val="20"/>
        </w:rPr>
        <w:t xml:space="preserve"> The characteristic, relative power and power consumption during the state transition corresponding to the sleep modes are shown in the Table 1.</w:t>
      </w:r>
    </w:p>
    <w:p>
      <w:pPr>
        <w:jc w:val="center"/>
        <w:rPr>
          <w:szCs w:val="20"/>
        </w:rPr>
      </w:pPr>
      <w:r>
        <w:rPr>
          <w:rFonts w:hint="eastAsia"/>
          <w:szCs w:val="20"/>
        </w:rPr>
        <w:t>Table 1 UE power consumption model for sleep modes</w:t>
      </w:r>
    </w:p>
    <w:tbl>
      <w:tblPr>
        <w:tblStyle w:val="31"/>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3107"/>
        <w:gridCol w:w="1373"/>
        <w:gridCol w:w="1512"/>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jc w:val="center"/>
              <w:rPr>
                <w:szCs w:val="20"/>
              </w:rPr>
            </w:pPr>
            <w:r>
              <w:rPr>
                <w:bCs/>
                <w:szCs w:val="20"/>
              </w:rPr>
              <w:t>Power State</w:t>
            </w:r>
          </w:p>
        </w:tc>
        <w:tc>
          <w:tcPr>
            <w:tcW w:w="3107" w:type="dxa"/>
            <w:vMerge w:val="restart"/>
            <w:vAlign w:val="center"/>
          </w:tcPr>
          <w:p>
            <w:pPr>
              <w:jc w:val="center"/>
              <w:rPr>
                <w:szCs w:val="20"/>
              </w:rPr>
            </w:pPr>
            <w:r>
              <w:rPr>
                <w:bCs/>
                <w:szCs w:val="20"/>
              </w:rPr>
              <w:t>Characteristics</w:t>
            </w:r>
          </w:p>
        </w:tc>
        <w:tc>
          <w:tcPr>
            <w:tcW w:w="1373" w:type="dxa"/>
            <w:vMerge w:val="restart"/>
            <w:vAlign w:val="center"/>
          </w:tcPr>
          <w:p>
            <w:pPr>
              <w:jc w:val="center"/>
              <w:rPr>
                <w:szCs w:val="20"/>
              </w:rPr>
            </w:pPr>
            <w:r>
              <w:rPr>
                <w:bCs/>
                <w:szCs w:val="20"/>
              </w:rPr>
              <w:t>Relative Power</w:t>
            </w:r>
          </w:p>
        </w:tc>
        <w:tc>
          <w:tcPr>
            <w:tcW w:w="2867" w:type="dxa"/>
            <w:gridSpan w:val="2"/>
            <w:vAlign w:val="center"/>
          </w:tcPr>
          <w:p>
            <w:pPr>
              <w:jc w:val="center"/>
              <w:rPr>
                <w:szCs w:val="20"/>
              </w:rPr>
            </w:pPr>
            <w:r>
              <w:rPr>
                <w:bCs/>
                <w:szCs w:val="20"/>
              </w:rPr>
              <w:t>UE power consumption during the state transition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vAlign w:val="center"/>
          </w:tcPr>
          <w:p>
            <w:pPr>
              <w:jc w:val="center"/>
              <w:rPr>
                <w:szCs w:val="20"/>
              </w:rPr>
            </w:pPr>
          </w:p>
        </w:tc>
        <w:tc>
          <w:tcPr>
            <w:tcW w:w="3107" w:type="dxa"/>
            <w:vMerge w:val="continue"/>
            <w:vAlign w:val="center"/>
          </w:tcPr>
          <w:p>
            <w:pPr>
              <w:jc w:val="center"/>
              <w:rPr>
                <w:szCs w:val="20"/>
              </w:rPr>
            </w:pPr>
          </w:p>
        </w:tc>
        <w:tc>
          <w:tcPr>
            <w:tcW w:w="1373" w:type="dxa"/>
            <w:vMerge w:val="continue"/>
            <w:vAlign w:val="center"/>
          </w:tcPr>
          <w:p>
            <w:pPr>
              <w:jc w:val="center"/>
              <w:rPr>
                <w:szCs w:val="20"/>
              </w:rPr>
            </w:pPr>
          </w:p>
        </w:tc>
        <w:tc>
          <w:tcPr>
            <w:tcW w:w="1512" w:type="dxa"/>
            <w:vAlign w:val="center"/>
          </w:tcPr>
          <w:p>
            <w:pPr>
              <w:pStyle w:val="101"/>
              <w:rPr>
                <w:rFonts w:ascii="Times New Roman" w:hAnsi="Times New Roman"/>
                <w:b w:val="0"/>
                <w:bCs/>
                <w:sz w:val="20"/>
                <w:lang w:val="en-US"/>
              </w:rPr>
            </w:pPr>
            <w:r>
              <w:rPr>
                <w:rFonts w:ascii="Times New Roman" w:hAnsi="Times New Roman"/>
                <w:b w:val="0"/>
                <w:bCs/>
                <w:sz w:val="20"/>
                <w:lang w:val="en-US"/>
              </w:rPr>
              <w:t>Additional transition energy:</w:t>
            </w:r>
          </w:p>
          <w:p>
            <w:pPr>
              <w:jc w:val="center"/>
              <w:rPr>
                <w:szCs w:val="20"/>
              </w:rPr>
            </w:pPr>
            <w:r>
              <w:rPr>
                <w:bCs/>
                <w:szCs w:val="20"/>
              </w:rPr>
              <w:t>(Relative power x ms)</w:t>
            </w:r>
          </w:p>
        </w:tc>
        <w:tc>
          <w:tcPr>
            <w:tcW w:w="1355" w:type="dxa"/>
            <w:vAlign w:val="center"/>
          </w:tcPr>
          <w:p>
            <w:pPr>
              <w:jc w:val="center"/>
              <w:rPr>
                <w:szCs w:val="20"/>
              </w:rPr>
            </w:pPr>
            <w:r>
              <w:rPr>
                <w:bCs/>
                <w:szCs w:val="20"/>
              </w:rPr>
              <w:t>Total transition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Align w:val="center"/>
          </w:tcPr>
          <w:p>
            <w:pPr>
              <w:jc w:val="center"/>
              <w:rPr>
                <w:szCs w:val="20"/>
              </w:rPr>
            </w:pPr>
            <w:r>
              <w:rPr>
                <w:bCs/>
                <w:szCs w:val="20"/>
              </w:rPr>
              <w:t>Deep Sleep</w:t>
            </w:r>
          </w:p>
        </w:tc>
        <w:tc>
          <w:tcPr>
            <w:tcW w:w="3107" w:type="dxa"/>
            <w:vAlign w:val="center"/>
          </w:tcPr>
          <w:p>
            <w:pPr>
              <w:jc w:val="center"/>
              <w:rPr>
                <w:szCs w:val="20"/>
              </w:rPr>
            </w:pPr>
            <w:r>
              <w:rPr>
                <w:bCs/>
                <w:szCs w:val="20"/>
              </w:rPr>
              <w:t>Time interval for the sleep should be larger than the total transition time entering and leaving this state. Accurate timing may not be maintained.</w:t>
            </w:r>
          </w:p>
        </w:tc>
        <w:tc>
          <w:tcPr>
            <w:tcW w:w="1373" w:type="dxa"/>
            <w:vAlign w:val="center"/>
          </w:tcPr>
          <w:p>
            <w:pPr>
              <w:jc w:val="center"/>
              <w:rPr>
                <w:szCs w:val="20"/>
              </w:rPr>
            </w:pPr>
            <w:r>
              <w:rPr>
                <w:bCs/>
                <w:szCs w:val="20"/>
              </w:rPr>
              <w:t xml:space="preserve">1 </w:t>
            </w:r>
          </w:p>
        </w:tc>
        <w:tc>
          <w:tcPr>
            <w:tcW w:w="1512" w:type="dxa"/>
            <w:vAlign w:val="center"/>
          </w:tcPr>
          <w:p>
            <w:pPr>
              <w:jc w:val="center"/>
              <w:rPr>
                <w:bCs/>
                <w:szCs w:val="20"/>
              </w:rPr>
            </w:pPr>
            <w:r>
              <w:rPr>
                <w:bCs/>
                <w:szCs w:val="20"/>
              </w:rPr>
              <w:t>450</w:t>
            </w:r>
          </w:p>
        </w:tc>
        <w:tc>
          <w:tcPr>
            <w:tcW w:w="1355" w:type="dxa"/>
            <w:vAlign w:val="center"/>
          </w:tcPr>
          <w:p>
            <w:pPr>
              <w:jc w:val="center"/>
              <w:rPr>
                <w:bCs/>
                <w:szCs w:val="20"/>
              </w:rPr>
            </w:pPr>
            <w:r>
              <w:rPr>
                <w:bCs/>
                <w:szCs w:val="20"/>
              </w:rPr>
              <w:t>20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Align w:val="center"/>
          </w:tcPr>
          <w:p>
            <w:pPr>
              <w:jc w:val="center"/>
              <w:rPr>
                <w:bCs/>
                <w:szCs w:val="20"/>
              </w:rPr>
            </w:pPr>
            <w:r>
              <w:rPr>
                <w:bCs/>
                <w:szCs w:val="20"/>
              </w:rPr>
              <w:t>Light Sleep</w:t>
            </w:r>
          </w:p>
        </w:tc>
        <w:tc>
          <w:tcPr>
            <w:tcW w:w="3107" w:type="dxa"/>
            <w:vAlign w:val="center"/>
          </w:tcPr>
          <w:p>
            <w:pPr>
              <w:jc w:val="center"/>
              <w:rPr>
                <w:bCs/>
                <w:szCs w:val="20"/>
              </w:rPr>
            </w:pPr>
            <w:r>
              <w:rPr>
                <w:bCs/>
                <w:szCs w:val="20"/>
              </w:rPr>
              <w:t>Time interval for the sleep should be larger than the total transition time entering and leaving this state.</w:t>
            </w:r>
          </w:p>
        </w:tc>
        <w:tc>
          <w:tcPr>
            <w:tcW w:w="1373" w:type="dxa"/>
            <w:vAlign w:val="center"/>
          </w:tcPr>
          <w:p>
            <w:pPr>
              <w:pStyle w:val="103"/>
              <w:jc w:val="center"/>
              <w:rPr>
                <w:rFonts w:ascii="Times New Roman" w:hAnsi="Times New Roman"/>
                <w:bCs/>
                <w:sz w:val="20"/>
                <w:szCs w:val="20"/>
              </w:rPr>
            </w:pPr>
            <w:r>
              <w:rPr>
                <w:rFonts w:ascii="Times New Roman" w:hAnsi="Times New Roman"/>
                <w:bCs/>
                <w:sz w:val="20"/>
                <w:szCs w:val="20"/>
              </w:rPr>
              <w:t>20</w:t>
            </w:r>
          </w:p>
        </w:tc>
        <w:tc>
          <w:tcPr>
            <w:tcW w:w="1512" w:type="dxa"/>
            <w:vAlign w:val="center"/>
          </w:tcPr>
          <w:p>
            <w:pPr>
              <w:pStyle w:val="103"/>
              <w:jc w:val="center"/>
              <w:rPr>
                <w:rFonts w:ascii="Times New Roman" w:hAnsi="Times New Roman"/>
                <w:bCs/>
                <w:color w:val="000000"/>
                <w:sz w:val="20"/>
                <w:szCs w:val="20"/>
                <w:lang w:eastAsia="ja-JP"/>
              </w:rPr>
            </w:pPr>
            <w:r>
              <w:rPr>
                <w:rFonts w:ascii="Times New Roman" w:hAnsi="Times New Roman"/>
                <w:bCs/>
                <w:sz w:val="20"/>
                <w:szCs w:val="20"/>
              </w:rPr>
              <w:t>100</w:t>
            </w:r>
          </w:p>
        </w:tc>
        <w:tc>
          <w:tcPr>
            <w:tcW w:w="1355" w:type="dxa"/>
            <w:vAlign w:val="center"/>
          </w:tcPr>
          <w:p>
            <w:pPr>
              <w:pStyle w:val="103"/>
              <w:jc w:val="center"/>
              <w:rPr>
                <w:rFonts w:ascii="Times New Roman" w:hAnsi="Times New Roman"/>
                <w:bCs/>
                <w:color w:val="000000"/>
                <w:sz w:val="20"/>
                <w:szCs w:val="20"/>
                <w:lang w:eastAsia="ja-JP"/>
              </w:rPr>
            </w:pPr>
            <w:r>
              <w:rPr>
                <w:rFonts w:ascii="Times New Roman" w:hAnsi="Times New Roman"/>
                <w:bCs/>
                <w:sz w:val="20"/>
                <w:szCs w:val="20"/>
              </w:rPr>
              <w:t>6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Align w:val="center"/>
          </w:tcPr>
          <w:p>
            <w:pPr>
              <w:pStyle w:val="103"/>
              <w:jc w:val="center"/>
              <w:rPr>
                <w:rFonts w:ascii="Times New Roman" w:hAnsi="Times New Roman"/>
                <w:bCs/>
                <w:sz w:val="20"/>
                <w:szCs w:val="20"/>
              </w:rPr>
            </w:pPr>
            <w:r>
              <w:rPr>
                <w:rFonts w:ascii="Times New Roman" w:hAnsi="Times New Roman"/>
                <w:bCs/>
                <w:sz w:val="20"/>
                <w:szCs w:val="20"/>
              </w:rPr>
              <w:t>Micro sleep</w:t>
            </w:r>
          </w:p>
        </w:tc>
        <w:tc>
          <w:tcPr>
            <w:tcW w:w="3107" w:type="dxa"/>
            <w:vAlign w:val="center"/>
          </w:tcPr>
          <w:p>
            <w:pPr>
              <w:pStyle w:val="103"/>
              <w:jc w:val="center"/>
              <w:rPr>
                <w:rFonts w:ascii="Times New Roman" w:hAnsi="Times New Roman"/>
                <w:bCs/>
                <w:sz w:val="20"/>
                <w:szCs w:val="20"/>
              </w:rPr>
            </w:pPr>
            <w:r>
              <w:rPr>
                <w:rFonts w:ascii="Times New Roman" w:hAnsi="Times New Roman"/>
                <w:bCs/>
                <w:sz w:val="20"/>
                <w:szCs w:val="20"/>
              </w:rPr>
              <w:t>Immediate transition is assumed for power saving study purpose from or to a non-sleep state</w:t>
            </w:r>
          </w:p>
        </w:tc>
        <w:tc>
          <w:tcPr>
            <w:tcW w:w="1373" w:type="dxa"/>
            <w:vAlign w:val="center"/>
          </w:tcPr>
          <w:p>
            <w:pPr>
              <w:pStyle w:val="103"/>
              <w:jc w:val="center"/>
              <w:rPr>
                <w:rFonts w:ascii="Times New Roman" w:hAnsi="Times New Roman"/>
                <w:bCs/>
                <w:sz w:val="20"/>
                <w:szCs w:val="20"/>
              </w:rPr>
            </w:pPr>
            <w:r>
              <w:rPr>
                <w:rFonts w:ascii="Times New Roman" w:hAnsi="Times New Roman"/>
                <w:bCs/>
                <w:sz w:val="20"/>
                <w:szCs w:val="20"/>
              </w:rPr>
              <w:t>45</w:t>
            </w:r>
          </w:p>
        </w:tc>
        <w:tc>
          <w:tcPr>
            <w:tcW w:w="1512" w:type="dxa"/>
            <w:vAlign w:val="center"/>
          </w:tcPr>
          <w:p>
            <w:pPr>
              <w:pStyle w:val="103"/>
              <w:jc w:val="center"/>
              <w:rPr>
                <w:rFonts w:ascii="Times New Roman" w:hAnsi="Times New Roman"/>
                <w:bCs/>
                <w:color w:val="000000"/>
                <w:sz w:val="20"/>
                <w:szCs w:val="20"/>
                <w:lang w:eastAsia="ja-JP"/>
              </w:rPr>
            </w:pPr>
            <w:r>
              <w:rPr>
                <w:rFonts w:ascii="Times New Roman" w:hAnsi="Times New Roman"/>
                <w:bCs/>
                <w:sz w:val="20"/>
                <w:szCs w:val="20"/>
              </w:rPr>
              <w:t>0</w:t>
            </w:r>
          </w:p>
        </w:tc>
        <w:tc>
          <w:tcPr>
            <w:tcW w:w="1355" w:type="dxa"/>
            <w:vAlign w:val="center"/>
          </w:tcPr>
          <w:p>
            <w:pPr>
              <w:pStyle w:val="103"/>
              <w:jc w:val="center"/>
              <w:rPr>
                <w:rFonts w:ascii="Times New Roman" w:hAnsi="Times New Roman"/>
                <w:bCs/>
                <w:color w:val="000000"/>
                <w:sz w:val="20"/>
                <w:szCs w:val="20"/>
                <w:lang w:eastAsia="ja-JP"/>
              </w:rPr>
            </w:pPr>
            <w:r>
              <w:rPr>
                <w:rFonts w:ascii="Times New Roman" w:hAnsi="Times New Roman"/>
                <w:bCs/>
                <w:sz w:val="20"/>
                <w:szCs w:val="20"/>
              </w:rPr>
              <w:t>0 ms</w:t>
            </w:r>
          </w:p>
        </w:tc>
      </w:tr>
    </w:tbl>
    <w:p>
      <w:pPr>
        <w:jc w:val="center"/>
        <w:rPr>
          <w:szCs w:val="20"/>
        </w:rPr>
      </w:pPr>
    </w:p>
    <w:p>
      <w:pPr>
        <w:rPr>
          <w:szCs w:val="20"/>
        </w:rPr>
      </w:pPr>
      <w:r>
        <w:rPr>
          <w:rFonts w:hint="eastAsia"/>
          <w:szCs w:val="20"/>
        </w:rPr>
        <w:t>For LP-WUS, the main radio is powered off until the LP-WUS is received. Therefore, the power off state of main radio is different of the existing sleep modes, which can be newly introduced. For a new power state, the c</w:t>
      </w:r>
      <w:r>
        <w:rPr>
          <w:bCs/>
          <w:szCs w:val="20"/>
        </w:rPr>
        <w:t>haracteristics</w:t>
      </w:r>
      <w:r>
        <w:rPr>
          <w:rFonts w:hint="eastAsia"/>
          <w:bCs/>
          <w:szCs w:val="20"/>
        </w:rPr>
        <w:t xml:space="preserve">, the value of </w:t>
      </w:r>
      <w:r>
        <w:rPr>
          <w:rFonts w:hint="eastAsia"/>
          <w:szCs w:val="20"/>
        </w:rPr>
        <w:t xml:space="preserve">relative power and power consumption during state transition should be defined.   </w:t>
      </w:r>
    </w:p>
    <w:p>
      <w:pPr>
        <w:rPr>
          <w:b/>
          <w:bCs/>
          <w:i/>
          <w:iCs/>
          <w:szCs w:val="20"/>
        </w:rPr>
      </w:pPr>
      <w:r>
        <w:rPr>
          <w:rFonts w:hint="eastAsia"/>
          <w:b/>
          <w:bCs/>
          <w:i/>
          <w:iCs/>
          <w:szCs w:val="20"/>
        </w:rPr>
        <w:t xml:space="preserve">Proposal </w:t>
      </w:r>
      <w:r>
        <w:rPr>
          <w:b/>
          <w:bCs/>
          <w:i/>
          <w:iCs/>
          <w:szCs w:val="20"/>
        </w:rPr>
        <w:t>6</w:t>
      </w:r>
      <w:r>
        <w:rPr>
          <w:rFonts w:hint="eastAsia"/>
          <w:b/>
          <w:bCs/>
          <w:i/>
          <w:iCs/>
          <w:szCs w:val="20"/>
        </w:rPr>
        <w:t xml:space="preserve">: The power off state of main radio should be introduced for power consumption evaluation. </w:t>
      </w:r>
    </w:p>
    <w:p>
      <w:pPr>
        <w:numPr>
          <w:ilvl w:val="0"/>
          <w:numId w:val="11"/>
        </w:numPr>
        <w:rPr>
          <w:szCs w:val="20"/>
        </w:rPr>
      </w:pPr>
      <w:r>
        <w:rPr>
          <w:rFonts w:hint="eastAsia"/>
          <w:b/>
          <w:bCs/>
          <w:i/>
          <w:iCs/>
          <w:szCs w:val="20"/>
        </w:rPr>
        <w:t>The c</w:t>
      </w:r>
      <w:r>
        <w:rPr>
          <w:b/>
          <w:bCs/>
          <w:i/>
          <w:iCs/>
          <w:szCs w:val="20"/>
        </w:rPr>
        <w:t>haracteristics</w:t>
      </w:r>
      <w:r>
        <w:rPr>
          <w:rFonts w:hint="eastAsia"/>
          <w:b/>
          <w:bCs/>
          <w:i/>
          <w:iCs/>
          <w:szCs w:val="20"/>
        </w:rPr>
        <w:t xml:space="preserve"> of power off state, the value of relative power and UE power consumption during the state transition should be defined. </w:t>
      </w:r>
      <w:r>
        <w:rPr>
          <w:rFonts w:hint="eastAsia"/>
          <w:szCs w:val="20"/>
        </w:rPr>
        <w:t xml:space="preserve">  </w:t>
      </w:r>
    </w:p>
    <w:p>
      <w:pPr>
        <w:rPr>
          <w:szCs w:val="20"/>
        </w:rPr>
      </w:pPr>
      <w:r>
        <w:rPr>
          <w:rFonts w:hint="eastAsia"/>
          <w:szCs w:val="20"/>
        </w:rPr>
        <w:t>In TR38.840, there is no power consumption model for WUR. Considering there are two power states of WU</w:t>
      </w:r>
      <w:r>
        <w:rPr>
          <w:szCs w:val="20"/>
        </w:rPr>
        <w:t>R</w:t>
      </w:r>
      <w:r>
        <w:rPr>
          <w:rFonts w:hint="eastAsia"/>
          <w:szCs w:val="20"/>
        </w:rPr>
        <w:t xml:space="preserve">, </w:t>
      </w:r>
      <w:r>
        <w:rPr>
          <w:szCs w:val="20"/>
        </w:rPr>
        <w:t>i.e.,</w:t>
      </w:r>
      <w:r>
        <w:rPr>
          <w:rFonts w:hint="eastAsia"/>
          <w:szCs w:val="20"/>
        </w:rPr>
        <w:t xml:space="preserve"> WUR on</w:t>
      </w:r>
      <w:r>
        <w:rPr>
          <w:szCs w:val="20"/>
        </w:rPr>
        <w:t>/off</w:t>
      </w:r>
      <w:r>
        <w:rPr>
          <w:rFonts w:hint="eastAsia"/>
          <w:szCs w:val="20"/>
        </w:rPr>
        <w:t xml:space="preserve"> state, the relative power of WUR on state, the relative power of WUR off state and the power consumption of during WUR on-off should be defined. </w:t>
      </w:r>
    </w:p>
    <w:p>
      <w:pPr>
        <w:rPr>
          <w:szCs w:val="20"/>
        </w:rPr>
      </w:pPr>
      <w:r>
        <w:rPr>
          <w:rFonts w:hint="eastAsia"/>
          <w:szCs w:val="20"/>
        </w:rPr>
        <w:t>Moreover, the power consumption of WUR is far less than that of main radio, so the power of WUR on is also far less than 1mW. The value of power for WUR on state depends on the WUR structure, WUR monitoring mechanism, LP-WUS design and so on. If value of the power consumption of during WUR on-off and relative power of WUR off state are small enough, they can be ignored in evaluation.</w:t>
      </w:r>
    </w:p>
    <w:p>
      <w:pPr>
        <w:spacing w:before="120" w:beforeLines="50" w:after="240"/>
        <w:rPr>
          <w:b/>
          <w:bCs/>
          <w:i/>
          <w:iCs/>
          <w:szCs w:val="20"/>
        </w:rPr>
      </w:pPr>
      <w:r>
        <w:rPr>
          <w:rFonts w:hint="eastAsia"/>
          <w:b/>
          <w:bCs/>
          <w:i/>
          <w:iCs/>
          <w:szCs w:val="20"/>
        </w:rPr>
        <w:t xml:space="preserve">Proposal </w:t>
      </w:r>
      <w:r>
        <w:rPr>
          <w:b/>
          <w:bCs/>
          <w:i/>
          <w:iCs/>
          <w:szCs w:val="20"/>
        </w:rPr>
        <w:t>7</w:t>
      </w:r>
      <w:r>
        <w:rPr>
          <w:rFonts w:hint="eastAsia"/>
          <w:b/>
          <w:bCs/>
          <w:i/>
          <w:iCs/>
          <w:szCs w:val="20"/>
        </w:rPr>
        <w:t>: For LP-WUS, the relative power of WUR on state, WUR off state and the power consumption of WUR on-off transition state should be defined.</w:t>
      </w:r>
    </w:p>
    <w:p>
      <w:pPr>
        <w:pStyle w:val="3"/>
        <w:numPr>
          <w:ilvl w:val="1"/>
          <w:numId w:val="1"/>
        </w:numPr>
        <w:ind w:left="567" w:hanging="567"/>
        <w:rPr>
          <w:rFonts w:cs="Arial"/>
          <w:b/>
          <w:bCs/>
          <w:lang w:val="en-US"/>
        </w:rPr>
      </w:pPr>
      <w:bookmarkStart w:id="10" w:name="OLE_LINK1"/>
      <w:r>
        <w:rPr>
          <w:rFonts w:hint="eastAsia" w:cs="Arial"/>
          <w:b/>
          <w:bCs/>
          <w:lang w:val="en-US"/>
        </w:rPr>
        <w:t>RRM measurement</w:t>
      </w:r>
    </w:p>
    <w:p>
      <w:r>
        <w:rPr>
          <w:rFonts w:hint="eastAsia"/>
        </w:rPr>
        <w:t xml:space="preserve">It is known RRM measurement has a great contribution on the UE power consumption especially in </w:t>
      </w:r>
      <w:r>
        <w:t xml:space="preserve">RRC </w:t>
      </w:r>
      <w:r>
        <w:rPr>
          <w:rFonts w:hint="eastAsia"/>
        </w:rPr>
        <w:t>idle</w:t>
      </w:r>
      <w:r>
        <w:t>/inactive</w:t>
      </w:r>
      <w:r>
        <w:rPr>
          <w:rFonts w:hint="eastAsia"/>
        </w:rPr>
        <w:t xml:space="preserve"> mode. For LP-WUS, the following RRM measurement assumptions should be considered. </w:t>
      </w:r>
    </w:p>
    <w:p>
      <w:r>
        <w:rPr>
          <w:rFonts w:hint="eastAsia"/>
        </w:rPr>
        <w:t>Alt-1: no main radio RRM measurement</w:t>
      </w:r>
    </w:p>
    <w:p>
      <w:pPr>
        <w:numPr>
          <w:ilvl w:val="0"/>
          <w:numId w:val="12"/>
        </w:numPr>
      </w:pPr>
      <w:r>
        <w:rPr>
          <w:rFonts w:hint="eastAsia"/>
        </w:rPr>
        <w:t>Alt 1-1: no measurement</w:t>
      </w:r>
    </w:p>
    <w:p>
      <w:pPr>
        <w:numPr>
          <w:ilvl w:val="0"/>
          <w:numId w:val="12"/>
        </w:numPr>
      </w:pPr>
      <w:r>
        <w:rPr>
          <w:rFonts w:hint="eastAsia"/>
        </w:rPr>
        <w:t xml:space="preserve">Alt 1-2: measurement based on LP-WUS/LP-RS </w:t>
      </w:r>
    </w:p>
    <w:p>
      <w:r>
        <w:rPr>
          <w:rFonts w:hint="eastAsia"/>
        </w:rPr>
        <w:t>Alt-2: relaxed RRM measurement</w:t>
      </w:r>
    </w:p>
    <w:p>
      <w:r>
        <w:rPr>
          <w:rFonts w:hint="eastAsia"/>
        </w:rPr>
        <w:t xml:space="preserve">For Alt-1-1, the impact of RRM measurement on UE power consumption does not need to considered. </w:t>
      </w:r>
      <w:r>
        <w:t xml:space="preserve">However, it has large impact on mobility management procedure. </w:t>
      </w:r>
      <w:r>
        <w:rPr>
          <w:rFonts w:hint="eastAsia"/>
        </w:rPr>
        <w:t xml:space="preserve">For Alt 1-2, the relative power and time domain position of LP-WUS/LP-RS used for measurement should be considered in UE power consumption evaluation. </w:t>
      </w:r>
    </w:p>
    <w:p>
      <w:r>
        <w:rPr>
          <w:rFonts w:hint="eastAsia"/>
        </w:rPr>
        <w:t xml:space="preserve">For Alt-2, the measurement relaxation rules, </w:t>
      </w:r>
      <w:r>
        <w:t>criterion</w:t>
      </w:r>
      <w:r>
        <w:rPr>
          <w:rFonts w:hint="eastAsia"/>
        </w:rPr>
        <w:t xml:space="preserve"> and granularity should be determined because the result of power consumption is affected by these aspects. </w:t>
      </w:r>
    </w:p>
    <w:p>
      <w:pPr>
        <w:rPr>
          <w:b/>
          <w:bCs/>
          <w:i/>
          <w:iCs/>
        </w:rPr>
      </w:pPr>
      <w:r>
        <w:rPr>
          <w:rFonts w:hint="eastAsia"/>
          <w:b/>
          <w:bCs/>
          <w:i/>
          <w:iCs/>
        </w:rPr>
        <w:t xml:space="preserve">Proposal </w:t>
      </w:r>
      <w:r>
        <w:rPr>
          <w:b/>
          <w:bCs/>
          <w:i/>
          <w:iCs/>
        </w:rPr>
        <w:t>8</w:t>
      </w:r>
      <w:r>
        <w:rPr>
          <w:rFonts w:hint="eastAsia"/>
          <w:b/>
          <w:bCs/>
          <w:i/>
          <w:iCs/>
        </w:rPr>
        <w:t xml:space="preserve">: For LP-WUS, RRM measurement assumptions should be determined. </w:t>
      </w:r>
    </w:p>
    <w:p>
      <w:pPr>
        <w:pStyle w:val="3"/>
        <w:numPr>
          <w:ilvl w:val="1"/>
          <w:numId w:val="1"/>
        </w:numPr>
        <w:ind w:left="567" w:hanging="567"/>
        <w:rPr>
          <w:rFonts w:cs="Arial"/>
          <w:b/>
          <w:bCs/>
          <w:lang w:val="en-US"/>
        </w:rPr>
      </w:pPr>
      <w:r>
        <w:rPr>
          <w:rFonts w:hint="eastAsia" w:cs="Arial"/>
          <w:b/>
          <w:bCs/>
          <w:lang w:val="en-US"/>
        </w:rPr>
        <w:t>System configurations</w:t>
      </w:r>
    </w:p>
    <w:p>
      <w:pPr>
        <w:rPr>
          <w:szCs w:val="20"/>
        </w:rPr>
      </w:pPr>
      <w:r>
        <w:rPr>
          <w:rFonts w:hint="eastAsia"/>
          <w:bCs/>
        </w:rPr>
        <w:t>Some s</w:t>
      </w:r>
      <w:r>
        <w:rPr>
          <w:bCs/>
        </w:rPr>
        <w:t xml:space="preserve">ystem </w:t>
      </w:r>
      <w:r>
        <w:rPr>
          <w:rFonts w:hint="eastAsia"/>
          <w:bCs/>
        </w:rPr>
        <w:t>c</w:t>
      </w:r>
      <w:r>
        <w:rPr>
          <w:bCs/>
        </w:rPr>
        <w:t>onfigurations</w:t>
      </w:r>
      <w:r>
        <w:rPr>
          <w:rFonts w:hint="eastAsia"/>
          <w:bCs/>
        </w:rPr>
        <w:t xml:space="preserve"> should be determined for UE power consumption evaluation. For paging rate, t</w:t>
      </w:r>
      <w:r>
        <w:rPr>
          <w:rFonts w:hint="eastAsia"/>
        </w:rPr>
        <w:t>he existing assumption of paging rate shown in TR38.840 can be reused.</w:t>
      </w:r>
      <w:r>
        <w:rPr>
          <w:rFonts w:hint="eastAsia"/>
          <w:szCs w:val="20"/>
        </w:rPr>
        <w:t xml:space="preserve"> If LP-WUS is used to wake up only a UE/group UEs, the paging rate is reduced. One example is shown in Table 2</w:t>
      </w:r>
      <w:r>
        <w:rPr>
          <w:szCs w:val="20"/>
        </w:rPr>
        <w:t>.</w:t>
      </w:r>
    </w:p>
    <w:p>
      <w:pPr>
        <w:pStyle w:val="76"/>
        <w:spacing w:before="100" w:beforeAutospacing="1" w:after="100" w:afterAutospacing="1"/>
        <w:ind w:firstLine="0" w:firstLineChars="0"/>
        <w:jc w:val="center"/>
        <w:rPr>
          <w:rFonts w:ascii="Times New Roman" w:hAnsi="Times New Roman"/>
          <w:sz w:val="20"/>
          <w:szCs w:val="20"/>
        </w:rPr>
      </w:pPr>
      <w:r>
        <w:rPr>
          <w:rFonts w:hint="eastAsia" w:ascii="Times New Roman" w:hAnsi="Times New Roman"/>
          <w:sz w:val="20"/>
          <w:szCs w:val="20"/>
        </w:rPr>
        <w:t>Table 2 Paging rate</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9"/>
        <w:gridCol w:w="1095"/>
        <w:gridCol w:w="1095"/>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vMerge w:val="restart"/>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paging rate per PO</w:t>
            </w:r>
          </w:p>
        </w:tc>
        <w:tc>
          <w:tcPr>
            <w:tcW w:w="2190" w:type="dxa"/>
            <w:gridSpan w:val="2"/>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Paging rate per group</w:t>
            </w:r>
          </w:p>
        </w:tc>
        <w:tc>
          <w:tcPr>
            <w:tcW w:w="1240" w:type="dxa"/>
            <w:vMerge w:val="restart"/>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Paging rate per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vMerge w:val="continue"/>
          </w:tcPr>
          <w:p>
            <w:pPr>
              <w:pStyle w:val="76"/>
              <w:spacing w:before="100" w:beforeAutospacing="1" w:after="100" w:afterAutospacing="1"/>
              <w:ind w:firstLine="0" w:firstLineChars="0"/>
              <w:jc w:val="center"/>
              <w:rPr>
                <w:rFonts w:ascii="Times New Roman" w:hAnsi="Times New Roman"/>
                <w:sz w:val="20"/>
                <w:szCs w:val="20"/>
              </w:rPr>
            </w:pPr>
          </w:p>
        </w:tc>
        <w:tc>
          <w:tcPr>
            <w:tcW w:w="1095" w:type="dxa"/>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4</w:t>
            </w:r>
          </w:p>
        </w:tc>
        <w:tc>
          <w:tcPr>
            <w:tcW w:w="1095" w:type="dxa"/>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8</w:t>
            </w:r>
          </w:p>
        </w:tc>
        <w:tc>
          <w:tcPr>
            <w:tcW w:w="1240" w:type="dxa"/>
            <w:vMerge w:val="continue"/>
          </w:tcPr>
          <w:p>
            <w:pPr>
              <w:pStyle w:val="76"/>
              <w:spacing w:before="100" w:beforeAutospacing="1" w:after="100" w:afterAutospacing="1"/>
              <w:ind w:firstLine="0" w:firstLineChars="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9" w:type="dxa"/>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10%</w:t>
            </w:r>
          </w:p>
        </w:tc>
        <w:tc>
          <w:tcPr>
            <w:tcW w:w="1095" w:type="dxa"/>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2.6%</w:t>
            </w:r>
          </w:p>
        </w:tc>
        <w:tc>
          <w:tcPr>
            <w:tcW w:w="1095" w:type="dxa"/>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1.3%</w:t>
            </w:r>
          </w:p>
        </w:tc>
        <w:tc>
          <w:tcPr>
            <w:tcW w:w="1240" w:type="dxa"/>
          </w:tcPr>
          <w:p>
            <w:pPr>
              <w:pStyle w:val="76"/>
              <w:spacing w:before="100" w:beforeAutospacing="1" w:after="100" w:afterAutospacing="1"/>
              <w:ind w:firstLine="0" w:firstLineChars="0"/>
              <w:jc w:val="center"/>
              <w:rPr>
                <w:rFonts w:ascii="Times New Roman" w:hAnsi="Times New Roman"/>
                <w:sz w:val="20"/>
                <w:szCs w:val="20"/>
              </w:rPr>
            </w:pPr>
            <w:r>
              <w:rPr>
                <w:rFonts w:ascii="Times New Roman" w:hAnsi="Times New Roman"/>
                <w:sz w:val="20"/>
                <w:szCs w:val="20"/>
              </w:rPr>
              <w:t>0.3%</w:t>
            </w:r>
          </w:p>
        </w:tc>
      </w:tr>
    </w:tbl>
    <w:p>
      <w:pPr>
        <w:pStyle w:val="76"/>
        <w:spacing w:before="100" w:beforeAutospacing="1" w:after="120"/>
        <w:ind w:firstLine="0" w:firstLineChars="0"/>
        <w:rPr>
          <w:rFonts w:ascii="Times New Roman" w:hAnsi="Times New Roman"/>
          <w:sz w:val="20"/>
          <w:szCs w:val="20"/>
        </w:rPr>
      </w:pPr>
      <w:r>
        <w:rPr>
          <w:rFonts w:hint="eastAsia" w:ascii="Times New Roman" w:hAnsi="Times New Roman"/>
          <w:sz w:val="20"/>
          <w:szCs w:val="20"/>
        </w:rPr>
        <w:t>In TR38.840, DRX cycle =1.28s is assumed and can be reused for LP-WUS. The eDRX cycle was introduced in Rel-17 for Redcap UE. The eDRX configuration(s) used for LP-WUS UE power consumption evaluation can be chosen from existing eDRX configurations.</w:t>
      </w:r>
    </w:p>
    <w:p>
      <w:pPr>
        <w:pStyle w:val="76"/>
        <w:spacing w:before="100" w:beforeAutospacing="1" w:after="240"/>
        <w:ind w:firstLine="0" w:firstLineChars="0"/>
        <w:rPr>
          <w:rFonts w:ascii="Times New Roman" w:hAnsi="Times New Roman"/>
          <w:b/>
          <w:bCs/>
          <w:i/>
          <w:iCs/>
          <w:sz w:val="20"/>
          <w:szCs w:val="20"/>
        </w:rPr>
      </w:pPr>
      <w:r>
        <w:rPr>
          <w:rFonts w:ascii="Times New Roman" w:hAnsi="Times New Roman"/>
          <w:b/>
          <w:bCs/>
          <w:i/>
          <w:iCs/>
          <w:sz w:val="20"/>
          <w:szCs w:val="20"/>
        </w:rPr>
        <w:t>Proposal 9</w:t>
      </w:r>
      <w:r>
        <w:rPr>
          <w:rFonts w:hint="eastAsia" w:ascii="Times New Roman" w:hAnsi="Times New Roman"/>
          <w:b/>
          <w:bCs/>
          <w:i/>
          <w:iCs/>
          <w:sz w:val="20"/>
          <w:szCs w:val="20"/>
        </w:rPr>
        <w:t xml:space="preserve">: </w:t>
      </w:r>
      <w:r>
        <w:rPr>
          <w:rFonts w:ascii="Times New Roman" w:hAnsi="Times New Roman"/>
          <w:b/>
          <w:bCs/>
          <w:i/>
          <w:iCs/>
          <w:sz w:val="20"/>
          <w:szCs w:val="20"/>
        </w:rPr>
        <w:t>System configurations including paging rate and DRX cycle configuration in TR38.840 can be reused. eDRX configuration(s) can be chosen from existing eDRX configurations.</w:t>
      </w:r>
    </w:p>
    <w:bookmarkEnd w:id="10"/>
    <w:p>
      <w:pPr>
        <w:pStyle w:val="2"/>
        <w:spacing w:before="120" w:beforeLines="50" w:after="120" w:afterLines="50" w:line="360" w:lineRule="auto"/>
        <w:ind w:left="431" w:hanging="431"/>
        <w:rPr>
          <w:rFonts w:ascii="Times New Roman" w:hAnsi="Times New Roman"/>
          <w:sz w:val="20"/>
          <w:szCs w:val="20"/>
          <w:lang w:val="en-US"/>
        </w:rPr>
      </w:pPr>
      <w:r>
        <w:rPr>
          <w:rFonts w:hint="eastAsia"/>
          <w:sz w:val="32"/>
          <w:szCs w:val="32"/>
          <w:lang w:val="en-US"/>
        </w:rPr>
        <w:t>Evaluation for latency</w:t>
      </w:r>
    </w:p>
    <w:p>
      <w:pPr>
        <w:rPr>
          <w:szCs w:val="20"/>
        </w:rPr>
      </w:pPr>
      <w:r>
        <w:rPr>
          <w:rFonts w:hint="eastAsia"/>
          <w:szCs w:val="20"/>
        </w:rPr>
        <w:t xml:space="preserve">The paging delay can be used for latency evaluation. The details are shown in Figure </w:t>
      </w:r>
      <w:r>
        <w:rPr>
          <w:szCs w:val="20"/>
        </w:rPr>
        <w:t>2</w:t>
      </w:r>
      <w:r>
        <w:rPr>
          <w:rFonts w:hint="eastAsia"/>
          <w:szCs w:val="20"/>
        </w:rPr>
        <w:t>. For DRX cycle, the paging delay is the started from paging arriv</w:t>
      </w:r>
      <w:r>
        <w:rPr>
          <w:szCs w:val="20"/>
        </w:rPr>
        <w:t>al</w:t>
      </w:r>
      <w:r>
        <w:rPr>
          <w:rFonts w:hint="eastAsia"/>
          <w:szCs w:val="20"/>
        </w:rPr>
        <w:t xml:space="preserve"> time to the corresponding PO (delay 1 in Figure </w:t>
      </w:r>
      <w:r>
        <w:rPr>
          <w:szCs w:val="20"/>
        </w:rPr>
        <w:t>2</w:t>
      </w:r>
      <w:r>
        <w:rPr>
          <w:rFonts w:hint="eastAsia"/>
          <w:szCs w:val="20"/>
        </w:rPr>
        <w:t xml:space="preserve">). For eDRX cycle, if paging arrive time is within the eDRX off period, the paging delay is the started from paging arrival time to the first corresponding PO in the next eDRX cycle (delay 2 in Figure </w:t>
      </w:r>
      <w:r>
        <w:rPr>
          <w:szCs w:val="20"/>
        </w:rPr>
        <w:t>2</w:t>
      </w:r>
      <w:r>
        <w:rPr>
          <w:rFonts w:hint="eastAsia"/>
          <w:szCs w:val="20"/>
        </w:rPr>
        <w:t xml:space="preserve">). For LP-WUS, the paging delay is the started from paging arrival time to the correspond PO after main radio power on and synchronization. For LP-WUS, the latency also depends on relationship between LP-WUS </w:t>
      </w:r>
      <w:r>
        <w:rPr>
          <w:szCs w:val="20"/>
        </w:rPr>
        <w:t xml:space="preserve">occasion </w:t>
      </w:r>
      <w:r>
        <w:rPr>
          <w:rFonts w:hint="eastAsia"/>
          <w:szCs w:val="20"/>
        </w:rPr>
        <w:t xml:space="preserve">and correspond PO. The paging delay is started from paging arrival time to legacy PO after main radio power on and synchronization (delay 3-1 in Figure </w:t>
      </w:r>
      <w:r>
        <w:rPr>
          <w:szCs w:val="20"/>
        </w:rPr>
        <w:t>2</w:t>
      </w:r>
      <w:r>
        <w:rPr>
          <w:rFonts w:hint="eastAsia"/>
          <w:szCs w:val="20"/>
        </w:rPr>
        <w:t xml:space="preserve">), or, the paging delay is started from paging arrival time to first PO after main radio power on and synchronization (delay 3-2 in Figure </w:t>
      </w:r>
      <w:r>
        <w:rPr>
          <w:szCs w:val="20"/>
        </w:rPr>
        <w:t>2</w:t>
      </w:r>
      <w:r>
        <w:rPr>
          <w:rFonts w:hint="eastAsia"/>
          <w:szCs w:val="20"/>
        </w:rPr>
        <w:t xml:space="preserve">). The latency also depends on LP-WUS monitoring mechanisms. When the WUS is periodic on-off monitored, the paging delay is the started from paging arrival time to the legacy PO after WUR and main radio turn on and synchronization (delay 3-3 in Figure </w:t>
      </w:r>
      <w:r>
        <w:rPr>
          <w:szCs w:val="20"/>
        </w:rPr>
        <w:t>2</w:t>
      </w:r>
      <w:r>
        <w:rPr>
          <w:rFonts w:hint="eastAsia"/>
          <w:szCs w:val="20"/>
        </w:rPr>
        <w:t>).</w:t>
      </w:r>
    </w:p>
    <w:p>
      <w:r>
        <w:rPr>
          <w:rFonts w:hint="eastAsia"/>
          <w:szCs w:val="20"/>
        </w:rPr>
        <w:t xml:space="preserve"> </w:t>
      </w:r>
      <w:r>
        <w:drawing>
          <wp:inline distT="0" distB="0" distL="114300" distR="114300">
            <wp:extent cx="5692775" cy="4161155"/>
            <wp:effectExtent l="0" t="0" r="6985" b="14605"/>
            <wp:docPr id="5"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1"/>
                    <pic:cNvPicPr>
                      <a:picLocks noChangeAspect="1"/>
                    </pic:cNvPicPr>
                  </pic:nvPicPr>
                  <pic:blipFill>
                    <a:blip r:embed="rId5"/>
                    <a:stretch>
                      <a:fillRect/>
                    </a:stretch>
                  </pic:blipFill>
                  <pic:spPr>
                    <a:xfrm>
                      <a:off x="0" y="0"/>
                      <a:ext cx="5692775" cy="4161155"/>
                    </a:xfrm>
                    <a:prstGeom prst="rect">
                      <a:avLst/>
                    </a:prstGeom>
                    <a:noFill/>
                    <a:ln>
                      <a:noFill/>
                    </a:ln>
                  </pic:spPr>
                </pic:pic>
              </a:graphicData>
            </a:graphic>
          </wp:inline>
        </w:drawing>
      </w:r>
    </w:p>
    <w:p>
      <w:pPr>
        <w:jc w:val="center"/>
      </w:pPr>
      <w:r>
        <w:t>Figure 2 Paging delay</w:t>
      </w:r>
    </w:p>
    <w:p>
      <w:pPr>
        <w:rPr>
          <w:szCs w:val="20"/>
        </w:rPr>
      </w:pPr>
      <w:r>
        <w:rPr>
          <w:rFonts w:hint="eastAsia"/>
          <w:szCs w:val="20"/>
        </w:rPr>
        <w:t>Based on above analysis, the paging arrival time, relationship between LP-WUS and corresponding PO, and LP-WUS monitoring mechanisms should be determined for latency evaluation.</w:t>
      </w:r>
    </w:p>
    <w:p>
      <w:pPr>
        <w:spacing w:after="240"/>
        <w:rPr>
          <w:b/>
          <w:bCs/>
          <w:i/>
          <w:iCs/>
          <w:szCs w:val="20"/>
        </w:rPr>
      </w:pPr>
      <w:r>
        <w:rPr>
          <w:b/>
          <w:bCs/>
          <w:i/>
          <w:iCs/>
          <w:szCs w:val="20"/>
        </w:rPr>
        <w:t>Proposal</w:t>
      </w:r>
      <w:r>
        <w:rPr>
          <w:rFonts w:hint="eastAsia"/>
          <w:b/>
          <w:bCs/>
          <w:i/>
          <w:iCs/>
          <w:szCs w:val="20"/>
        </w:rPr>
        <w:t xml:space="preserve"> </w:t>
      </w:r>
      <w:r>
        <w:rPr>
          <w:b/>
          <w:bCs/>
          <w:i/>
          <w:iCs/>
          <w:szCs w:val="20"/>
        </w:rPr>
        <w:t xml:space="preserve">10: </w:t>
      </w:r>
      <w:r>
        <w:rPr>
          <w:rFonts w:hint="eastAsia"/>
          <w:b/>
          <w:bCs/>
          <w:i/>
          <w:iCs/>
          <w:szCs w:val="20"/>
        </w:rPr>
        <w:t>For LP-WUS latency evaluation, paging arrival time, position relationship between LP-WUS and corresponding PO, and LP-WUS monitoring mechanism should be determined.</w:t>
      </w:r>
    </w:p>
    <w:p>
      <w:pPr>
        <w:pStyle w:val="2"/>
        <w:spacing w:before="120" w:beforeLines="50" w:after="120" w:afterLines="50" w:line="360" w:lineRule="auto"/>
        <w:ind w:left="431" w:hanging="431"/>
        <w:rPr>
          <w:rFonts w:ascii="Times New Roman" w:hAnsi="Times New Roman"/>
          <w:sz w:val="20"/>
          <w:szCs w:val="20"/>
          <w:lang w:val="en-US"/>
        </w:rPr>
      </w:pPr>
      <w:r>
        <w:rPr>
          <w:rFonts w:hint="eastAsia"/>
          <w:sz w:val="32"/>
          <w:szCs w:val="32"/>
          <w:lang w:val="en-US"/>
        </w:rPr>
        <w:t>Network impact</w:t>
      </w:r>
    </w:p>
    <w:p>
      <w:pPr>
        <w:pStyle w:val="3"/>
        <w:numPr>
          <w:ilvl w:val="1"/>
          <w:numId w:val="1"/>
        </w:numPr>
        <w:ind w:left="567" w:hanging="567"/>
        <w:rPr>
          <w:rFonts w:cs="Arial"/>
          <w:b/>
          <w:bCs/>
          <w:lang w:val="en-US"/>
        </w:rPr>
      </w:pPr>
      <w:bookmarkStart w:id="11" w:name="OLE_LINK4"/>
      <w:r>
        <w:rPr>
          <w:rFonts w:hint="eastAsia" w:cs="Arial"/>
          <w:b/>
          <w:bCs/>
          <w:lang w:val="en-US"/>
        </w:rPr>
        <w:t>Network coverage</w:t>
      </w:r>
    </w:p>
    <w:p>
      <w:r>
        <w:rPr>
          <w:rFonts w:hint="eastAsia"/>
        </w:rPr>
        <w:t xml:space="preserve">Considering that IoT use cases and wearables are involved in SID, the </w:t>
      </w:r>
      <w:bookmarkStart w:id="12" w:name="OLE_LINK26"/>
      <w:bookmarkStart w:id="13" w:name="OLE_LINK27"/>
      <w:r>
        <w:rPr>
          <w:rFonts w:hint="eastAsia"/>
        </w:rPr>
        <w:t xml:space="preserve">scenarios </w:t>
      </w:r>
      <w:bookmarkEnd w:id="12"/>
      <w:r>
        <w:rPr>
          <w:rFonts w:hint="eastAsia"/>
        </w:rPr>
        <w:t>of U</w:t>
      </w:r>
      <w:r>
        <w:t>rban</w:t>
      </w:r>
      <w:r>
        <w:rPr>
          <w:rFonts w:hint="eastAsia"/>
        </w:rPr>
        <w:t xml:space="preserve">, </w:t>
      </w:r>
      <w:r>
        <w:t>Rural</w:t>
      </w:r>
      <w:r>
        <w:rPr>
          <w:rFonts w:hint="eastAsia"/>
        </w:rPr>
        <w:t xml:space="preserve"> and </w:t>
      </w:r>
      <w:r>
        <w:t>Indoor</w:t>
      </w:r>
      <w:bookmarkEnd w:id="13"/>
      <w:r>
        <w:rPr>
          <w:rFonts w:hint="eastAsia"/>
        </w:rPr>
        <w:t xml:space="preserve"> evaluated in TR38.875 for Rel-17 RedCap can be treated as baseline scenarios for the evaluation of network coverage for LP-WUS. </w:t>
      </w:r>
      <w:bookmarkStart w:id="14" w:name="OLE_LINK31"/>
      <w:r>
        <w:rPr>
          <w:rFonts w:hint="eastAsia"/>
        </w:rPr>
        <w:t>The parameters/simulation assumptions in TR38.875 can be use as references</w:t>
      </w:r>
      <w:bookmarkEnd w:id="14"/>
      <w:r>
        <w:rPr>
          <w:rFonts w:hint="eastAsia"/>
        </w:rPr>
        <w:t xml:space="preserve"> in the </w:t>
      </w:r>
      <w:bookmarkStart w:id="15" w:name="OLE_LINK29"/>
      <w:r>
        <w:rPr>
          <w:rFonts w:hint="eastAsia"/>
        </w:rPr>
        <w:t>scenarios of U</w:t>
      </w:r>
      <w:r>
        <w:t>rban</w:t>
      </w:r>
      <w:r>
        <w:rPr>
          <w:rFonts w:hint="eastAsia"/>
        </w:rPr>
        <w:t xml:space="preserve">, </w:t>
      </w:r>
      <w:r>
        <w:t>Rural</w:t>
      </w:r>
      <w:r>
        <w:rPr>
          <w:rFonts w:hint="eastAsia"/>
        </w:rPr>
        <w:t xml:space="preserve"> and </w:t>
      </w:r>
      <w:r>
        <w:t>Indoor</w:t>
      </w:r>
      <w:r>
        <w:rPr>
          <w:rFonts w:hint="eastAsia"/>
        </w:rPr>
        <w:t>.</w:t>
      </w:r>
      <w:bookmarkEnd w:id="15"/>
    </w:p>
    <w:p>
      <w:bookmarkStart w:id="16" w:name="OLE_LINK36"/>
      <w:r>
        <w:rPr>
          <w:rFonts w:hint="eastAsia"/>
        </w:rPr>
        <w:t xml:space="preserve">Regarding the </w:t>
      </w:r>
      <w:bookmarkStart w:id="17" w:name="OLE_LINK28"/>
      <w:r>
        <w:rPr>
          <w:rFonts w:hint="eastAsia"/>
        </w:rPr>
        <w:t>evaluation</w:t>
      </w:r>
      <w:bookmarkEnd w:id="17"/>
      <w:r>
        <w:rPr>
          <w:rFonts w:hint="eastAsia"/>
        </w:rPr>
        <w:t xml:space="preserve"> of network coverage for LP-WUS, its coverage performance should be better than that of the limited channel evaluated in Rel-15/16/17 NR.</w:t>
      </w:r>
      <w:bookmarkEnd w:id="16"/>
      <w:r>
        <w:rPr>
          <w:rFonts w:hint="eastAsia"/>
        </w:rPr>
        <w:t xml:space="preserve"> Take Rel-16 NR as an example, according to the analysis in TR38.875, PUSCH in Rel-16 NR is </w:t>
      </w:r>
      <w:r>
        <w:t xml:space="preserve">the </w:t>
      </w:r>
      <w:r>
        <w:rPr>
          <w:rFonts w:hint="eastAsia"/>
        </w:rPr>
        <w:t>limited channel in scenarios of U</w:t>
      </w:r>
      <w:r>
        <w:t>rban</w:t>
      </w:r>
      <w:r>
        <w:rPr>
          <w:rFonts w:hint="eastAsia"/>
        </w:rPr>
        <w:t xml:space="preserve">, </w:t>
      </w:r>
      <w:r>
        <w:t>Rural</w:t>
      </w:r>
      <w:r>
        <w:rPr>
          <w:rFonts w:hint="eastAsia"/>
        </w:rPr>
        <w:t xml:space="preserve"> and </w:t>
      </w:r>
      <w:r>
        <w:t>Indoor</w:t>
      </w:r>
      <w:r>
        <w:rPr>
          <w:rFonts w:hint="eastAsia"/>
        </w:rPr>
        <w:t>. Therefore, the MCL of LP-WUS should be at least higher than that of PUSCH.</w:t>
      </w:r>
    </w:p>
    <w:p>
      <w:r>
        <w:rPr>
          <w:rFonts w:hint="eastAsia"/>
        </w:rPr>
        <w:t xml:space="preserve">Furthermore, since LP-WUS is used to wake up the Paging UE, the coverage performance may be at least equal or better than that of paging </w:t>
      </w:r>
      <w:bookmarkStart w:id="18" w:name="OLE_LINK35"/>
      <w:r>
        <w:rPr>
          <w:rFonts w:hint="eastAsia"/>
        </w:rPr>
        <w:t>message</w:t>
      </w:r>
      <w:bookmarkEnd w:id="18"/>
      <w:r>
        <w:rPr>
          <w:rFonts w:hint="eastAsia"/>
        </w:rPr>
        <w:t xml:space="preserve"> (Paging PDCCH or Paging PDSCH). Therefore, </w:t>
      </w:r>
      <w:bookmarkStart w:id="19" w:name="OLE_LINK39"/>
      <w:r>
        <w:rPr>
          <w:rFonts w:hint="eastAsia"/>
        </w:rPr>
        <w:t xml:space="preserve">whether the coverage performance of the LP-WUS is consistent with that of </w:t>
      </w:r>
      <w:bookmarkStart w:id="20" w:name="OLE_LINK30"/>
      <w:r>
        <w:rPr>
          <w:rFonts w:hint="eastAsia"/>
        </w:rPr>
        <w:t xml:space="preserve">Paging </w:t>
      </w:r>
      <w:bookmarkEnd w:id="20"/>
      <w:r>
        <w:rPr>
          <w:rFonts w:hint="eastAsia"/>
        </w:rPr>
        <w:t>message needs to be further considered.</w:t>
      </w:r>
    </w:p>
    <w:bookmarkEnd w:id="19"/>
    <w:p>
      <w:pPr>
        <w:rPr>
          <w:b/>
          <w:bCs/>
          <w:i/>
          <w:iCs/>
        </w:rPr>
      </w:pPr>
      <w:r>
        <w:rPr>
          <w:rFonts w:hint="eastAsia"/>
          <w:b/>
          <w:bCs/>
          <w:i/>
          <w:iCs/>
        </w:rPr>
        <w:t>Proposal 1</w:t>
      </w:r>
      <w:r>
        <w:rPr>
          <w:b/>
          <w:bCs/>
          <w:i/>
          <w:iCs/>
        </w:rPr>
        <w:t>1</w:t>
      </w:r>
      <w:r>
        <w:rPr>
          <w:rFonts w:hint="eastAsia"/>
          <w:b/>
          <w:bCs/>
          <w:i/>
          <w:iCs/>
        </w:rPr>
        <w:t xml:space="preserve">: Regarding </w:t>
      </w:r>
      <w:bookmarkStart w:id="21" w:name="OLE_LINK38"/>
      <w:r>
        <w:rPr>
          <w:rFonts w:hint="eastAsia"/>
          <w:b/>
          <w:bCs/>
          <w:i/>
          <w:iCs/>
        </w:rPr>
        <w:t>network coverage evaluation</w:t>
      </w:r>
      <w:bookmarkEnd w:id="21"/>
      <w:r>
        <w:rPr>
          <w:rFonts w:hint="eastAsia"/>
          <w:b/>
          <w:bCs/>
          <w:i/>
          <w:iCs/>
        </w:rPr>
        <w:t xml:space="preserve"> for LP-WUS, the parameters/simulation assumptions of the deployment scenarios defined in TR38.875 can be use</w:t>
      </w:r>
      <w:r>
        <w:rPr>
          <w:b/>
          <w:bCs/>
          <w:i/>
          <w:iCs/>
        </w:rPr>
        <w:t>d</w:t>
      </w:r>
      <w:r>
        <w:rPr>
          <w:rFonts w:hint="eastAsia"/>
          <w:b/>
          <w:bCs/>
          <w:i/>
          <w:iCs/>
        </w:rPr>
        <w:t xml:space="preserve"> as references.</w:t>
      </w:r>
    </w:p>
    <w:p>
      <w:pPr>
        <w:rPr>
          <w:b/>
          <w:bCs/>
          <w:i/>
          <w:iCs/>
        </w:rPr>
      </w:pPr>
      <w:r>
        <w:rPr>
          <w:rFonts w:hint="eastAsia"/>
          <w:b/>
          <w:bCs/>
          <w:i/>
          <w:iCs/>
        </w:rPr>
        <w:t>Proposal 1</w:t>
      </w:r>
      <w:r>
        <w:rPr>
          <w:b/>
          <w:bCs/>
          <w:i/>
          <w:iCs/>
        </w:rPr>
        <w:t>2</w:t>
      </w:r>
      <w:r>
        <w:rPr>
          <w:rFonts w:hint="eastAsia"/>
          <w:b/>
          <w:bCs/>
          <w:i/>
          <w:iCs/>
        </w:rPr>
        <w:t>: Regarding network coverage evaluation for LP-WUS, its coverage performance should be equal or better than that of the limited channel evaluated in NR Rel-15/16/17.</w:t>
      </w:r>
    </w:p>
    <w:p>
      <w:pPr>
        <w:numPr>
          <w:ilvl w:val="0"/>
          <w:numId w:val="13"/>
        </w:numPr>
        <w:rPr>
          <w:b/>
          <w:bCs/>
          <w:i/>
          <w:iCs/>
        </w:rPr>
      </w:pPr>
      <w:r>
        <w:rPr>
          <w:b/>
          <w:bCs/>
          <w:i/>
          <w:iCs/>
        </w:rPr>
        <w:t>Whether its coverage performance is consistent with that of paging message needs to be further considered.</w:t>
      </w:r>
    </w:p>
    <w:p>
      <w:pPr>
        <w:pStyle w:val="3"/>
        <w:numPr>
          <w:ilvl w:val="1"/>
          <w:numId w:val="1"/>
        </w:numPr>
        <w:ind w:left="567" w:hanging="567"/>
        <w:rPr>
          <w:rFonts w:cs="Arial"/>
          <w:b/>
          <w:bCs/>
          <w:lang w:val="en-US"/>
        </w:rPr>
      </w:pPr>
      <w:r>
        <w:rPr>
          <w:rFonts w:hint="eastAsia" w:cs="Arial"/>
          <w:b/>
          <w:bCs/>
          <w:lang w:val="en-US"/>
        </w:rPr>
        <w:t>Others</w:t>
      </w:r>
    </w:p>
    <w:p>
      <w:r>
        <w:rPr>
          <w:rFonts w:hint="eastAsia"/>
        </w:rPr>
        <w:t xml:space="preserve">For network </w:t>
      </w:r>
      <w:r>
        <w:rPr>
          <w:lang w:eastAsia="ja-JP"/>
        </w:rPr>
        <w:t>resource overhead</w:t>
      </w:r>
      <w:r>
        <w:rPr>
          <w:rFonts w:hint="eastAsia"/>
        </w:rPr>
        <w:t>, the evaluation method used for PEI can be reused. For n</w:t>
      </w:r>
      <w:r>
        <w:rPr>
          <w:lang w:eastAsia="ja-JP"/>
        </w:rPr>
        <w:t>etwork power consumption</w:t>
      </w:r>
      <w:r>
        <w:rPr>
          <w:rFonts w:hint="eastAsia"/>
        </w:rPr>
        <w:t xml:space="preserve">, extra network power consumption caused by LP-WUS transmission should be considered. To be more intuitive, the power consumption for the NW and the resource overhead can be compared with the existing NR </w:t>
      </w:r>
      <w:r>
        <w:t>signals</w:t>
      </w:r>
      <w:r>
        <w:rPr>
          <w:rFonts w:hint="eastAsia"/>
        </w:rPr>
        <w:t>, e.g., SSB.</w:t>
      </w:r>
    </w:p>
    <w:p>
      <w:r>
        <w:rPr>
          <w:rFonts w:hint="eastAsia"/>
        </w:rPr>
        <w:t>For network capacity evaluation, we need to further discuss and decide whether the system level simulation is needed or not. At least, the priority should be low compared with other evaluations.</w:t>
      </w:r>
    </w:p>
    <w:p>
      <w:pPr>
        <w:rPr>
          <w:b/>
          <w:bCs/>
          <w:i/>
          <w:iCs/>
        </w:rPr>
      </w:pPr>
      <w:r>
        <w:rPr>
          <w:rFonts w:hint="eastAsia"/>
        </w:rPr>
        <w:t>For c</w:t>
      </w:r>
      <w:r>
        <w:rPr>
          <w:lang w:eastAsia="ja-JP"/>
        </w:rPr>
        <w:t>oexistence with non-low-power-WUR UEs</w:t>
      </w:r>
      <w:r>
        <w:rPr>
          <w:rFonts w:hint="eastAsia"/>
        </w:rPr>
        <w:t>, the impact depends on whether the band of WUR is in</w:t>
      </w:r>
      <w:r>
        <w:t>-</w:t>
      </w:r>
      <w:r>
        <w:rPr>
          <w:rFonts w:hint="eastAsia"/>
        </w:rPr>
        <w:t>band or out</w:t>
      </w:r>
      <w:r>
        <w:t>-</w:t>
      </w:r>
      <w:r>
        <w:rPr>
          <w:rFonts w:hint="eastAsia"/>
        </w:rPr>
        <w:t>band, and whether the LP-WUS structure follows existing NR frame structure.</w:t>
      </w:r>
    </w:p>
    <w:p>
      <w:pPr>
        <w:rPr>
          <w:b/>
          <w:bCs/>
          <w:i/>
          <w:iCs/>
        </w:rPr>
      </w:pPr>
      <w:r>
        <w:rPr>
          <w:rFonts w:hint="eastAsia"/>
          <w:b/>
          <w:bCs/>
          <w:i/>
          <w:iCs/>
        </w:rPr>
        <w:t>Proposal 1</w:t>
      </w:r>
      <w:r>
        <w:rPr>
          <w:b/>
          <w:bCs/>
          <w:i/>
          <w:iCs/>
        </w:rPr>
        <w:t>3</w:t>
      </w:r>
      <w:r>
        <w:rPr>
          <w:rFonts w:hint="eastAsia"/>
          <w:b/>
          <w:bCs/>
          <w:i/>
          <w:iCs/>
        </w:rPr>
        <w:t xml:space="preserve">: </w:t>
      </w:r>
      <w:r>
        <w:rPr>
          <w:b/>
          <w:bCs/>
          <w:i/>
          <w:iCs/>
        </w:rPr>
        <w:t>The following aspects need to be considered in LP-WUS design.</w:t>
      </w:r>
    </w:p>
    <w:p>
      <w:pPr>
        <w:numPr>
          <w:ilvl w:val="0"/>
          <w:numId w:val="13"/>
        </w:numPr>
        <w:rPr>
          <w:b/>
          <w:bCs/>
          <w:i/>
          <w:iCs/>
        </w:rPr>
      </w:pPr>
      <w:r>
        <w:rPr>
          <w:rFonts w:hint="eastAsia"/>
          <w:b/>
          <w:bCs/>
          <w:i/>
          <w:iCs/>
        </w:rPr>
        <w:t>Network resource overhead, network power consumption can be evaluated</w:t>
      </w:r>
      <w:r>
        <w:rPr>
          <w:b/>
          <w:bCs/>
          <w:i/>
          <w:iCs/>
        </w:rPr>
        <w:t xml:space="preserve"> and</w:t>
      </w:r>
      <w:r>
        <w:rPr>
          <w:rFonts w:hint="eastAsia"/>
          <w:b/>
          <w:bCs/>
          <w:i/>
          <w:iCs/>
        </w:rPr>
        <w:t xml:space="preserve"> compared with NR </w:t>
      </w:r>
      <w:r>
        <w:rPr>
          <w:b/>
          <w:bCs/>
          <w:i/>
          <w:iCs/>
        </w:rPr>
        <w:t>signal</w:t>
      </w:r>
      <w:r>
        <w:rPr>
          <w:rFonts w:hint="eastAsia"/>
          <w:b/>
          <w:bCs/>
          <w:i/>
          <w:iCs/>
        </w:rPr>
        <w:t>, e.g., SSB.</w:t>
      </w:r>
    </w:p>
    <w:p>
      <w:pPr>
        <w:numPr>
          <w:ilvl w:val="0"/>
          <w:numId w:val="13"/>
        </w:numPr>
        <w:rPr>
          <w:b/>
          <w:bCs/>
          <w:i/>
          <w:iCs/>
        </w:rPr>
      </w:pPr>
      <w:r>
        <w:rPr>
          <w:rFonts w:hint="eastAsia"/>
          <w:b/>
          <w:bCs/>
          <w:i/>
          <w:iCs/>
        </w:rPr>
        <w:t>Coexistence with non-low-power-WUR UEs can be further analyzed based on the outcome of LP-WUS design</w:t>
      </w:r>
    </w:p>
    <w:p>
      <w:pPr>
        <w:numPr>
          <w:ilvl w:val="0"/>
          <w:numId w:val="13"/>
        </w:numPr>
        <w:rPr>
          <w:b/>
          <w:bCs/>
          <w:i/>
          <w:iCs/>
        </w:rPr>
      </w:pPr>
      <w:r>
        <w:rPr>
          <w:rFonts w:hint="eastAsia"/>
          <w:b/>
          <w:bCs/>
          <w:i/>
          <w:iCs/>
        </w:rPr>
        <w:t>The system level simulation for NW capacity can be deprioritized.</w:t>
      </w:r>
    </w:p>
    <w:bookmarkEnd w:id="3"/>
    <w:bookmarkEnd w:id="4"/>
    <w:bookmarkEnd w:id="9"/>
    <w:bookmarkEnd w:id="11"/>
    <w:p>
      <w:pPr>
        <w:pStyle w:val="2"/>
        <w:ind w:left="431" w:hanging="431"/>
        <w:rPr>
          <w:sz w:val="32"/>
          <w:szCs w:val="32"/>
          <w:lang w:eastAsia="ja-JP"/>
        </w:rPr>
      </w:pPr>
      <w:bookmarkStart w:id="22" w:name="OLE_LINK15"/>
      <w:r>
        <w:rPr>
          <w:rFonts w:hint="eastAsia"/>
          <w:sz w:val="32"/>
          <w:szCs w:val="32"/>
          <w:lang w:val="en-US"/>
        </w:rPr>
        <w:t xml:space="preserve">LLS </w:t>
      </w:r>
      <w:r>
        <w:rPr>
          <w:sz w:val="32"/>
          <w:szCs w:val="32"/>
        </w:rPr>
        <w:t>assumptions</w:t>
      </w:r>
      <w:r>
        <w:rPr>
          <w:sz w:val="32"/>
          <w:szCs w:val="32"/>
          <w:lang w:val="en-US"/>
        </w:rPr>
        <w:t xml:space="preserve"> for LP-WUS</w:t>
      </w:r>
      <w:r>
        <w:rPr>
          <w:sz w:val="32"/>
          <w:szCs w:val="32"/>
          <w:lang w:eastAsia="ja-JP"/>
        </w:rPr>
        <w:t xml:space="preserve"> </w:t>
      </w:r>
    </w:p>
    <w:p>
      <w:r>
        <w:rPr>
          <w:rFonts w:hint="eastAsia"/>
        </w:rPr>
        <w:t xml:space="preserve">In this section, LLS assumptions for LP-WUS are discussed. </w:t>
      </w:r>
      <w:bookmarkStart w:id="23" w:name="OLE_LINK21"/>
      <w:r>
        <w:rPr>
          <w:rFonts w:hint="eastAsia"/>
        </w:rPr>
        <w:t xml:space="preserve">They can be divided into four </w:t>
      </w:r>
      <w:r>
        <w:t>p</w:t>
      </w:r>
      <w:r>
        <w:rPr>
          <w:rFonts w:hint="eastAsia"/>
        </w:rPr>
        <w:t xml:space="preserve">arts including </w:t>
      </w:r>
      <w:r>
        <w:t>s</w:t>
      </w:r>
      <w:r>
        <w:rPr>
          <w:rFonts w:hint="eastAsia"/>
        </w:rPr>
        <w:t xml:space="preserve">ystem configuration, LP-WUS transmission configuration, LP-WUS receiver configuration and </w:t>
      </w:r>
      <w:r>
        <w:t>p</w:t>
      </w:r>
      <w:r>
        <w:rPr>
          <w:rFonts w:hint="eastAsia"/>
        </w:rPr>
        <w:t>erformance metrics</w:t>
      </w:r>
      <w:bookmarkEnd w:id="23"/>
      <w:r>
        <w:rPr>
          <w:rFonts w:hint="eastAsia"/>
        </w:rPr>
        <w:t>.</w:t>
      </w:r>
    </w:p>
    <w:p>
      <w:pPr>
        <w:rPr>
          <w:b/>
          <w:bCs/>
        </w:rPr>
      </w:pPr>
      <w:bookmarkStart w:id="24" w:name="OLE_LINK14"/>
      <w:r>
        <w:rPr>
          <w:rFonts w:hint="eastAsia"/>
          <w:b/>
          <w:bCs/>
        </w:rPr>
        <w:t>NR s</w:t>
      </w:r>
      <w:r>
        <w:rPr>
          <w:b/>
          <w:bCs/>
        </w:rPr>
        <w:t>ystem configuration</w:t>
      </w:r>
      <w:r>
        <w:rPr>
          <w:rFonts w:hint="eastAsia"/>
          <w:b/>
          <w:bCs/>
        </w:rPr>
        <w:t>s</w:t>
      </w:r>
      <w:bookmarkEnd w:id="24"/>
    </w:p>
    <w:p>
      <w:bookmarkStart w:id="25" w:name="OLE_LINK11"/>
      <w:bookmarkStart w:id="26" w:name="OLE_LINK6"/>
      <w:r>
        <w:rPr>
          <w:rFonts w:hint="eastAsia"/>
        </w:rPr>
        <w:t xml:space="preserve">The relevant parameters include </w:t>
      </w:r>
      <w:bookmarkEnd w:id="25"/>
      <w:bookmarkEnd w:id="26"/>
      <w:r>
        <w:t>duplex mode</w:t>
      </w:r>
      <w:r>
        <w:rPr>
          <w:rFonts w:hint="eastAsia"/>
        </w:rPr>
        <w:t xml:space="preserve">, </w:t>
      </w:r>
      <w:r>
        <w:t>system bandwidth</w:t>
      </w:r>
      <w:r>
        <w:rPr>
          <w:rFonts w:hint="eastAsia"/>
        </w:rPr>
        <w:t xml:space="preserve">, </w:t>
      </w:r>
      <w:r>
        <w:t>subcarrier spacing</w:t>
      </w:r>
      <w:r>
        <w:rPr>
          <w:rFonts w:hint="eastAsia"/>
        </w:rPr>
        <w:t xml:space="preserve">, </w:t>
      </w:r>
      <w:r>
        <w:t>channel mode</w:t>
      </w:r>
      <w:r>
        <w:rPr>
          <w:rFonts w:hint="eastAsia"/>
        </w:rPr>
        <w:t xml:space="preserve">, </w:t>
      </w:r>
      <w:r>
        <w:t>UE velocity</w:t>
      </w:r>
      <w:r>
        <w:rPr>
          <w:rFonts w:hint="eastAsia"/>
        </w:rPr>
        <w:t xml:space="preserve"> </w:t>
      </w:r>
      <w:r>
        <w:t>and gNB antenna configuration</w:t>
      </w:r>
      <w:r>
        <w:rPr>
          <w:rFonts w:hint="eastAsia"/>
        </w:rPr>
        <w:t>.</w:t>
      </w:r>
    </w:p>
    <w:p>
      <w:bookmarkStart w:id="27" w:name="OLE_LINK7"/>
      <w:r>
        <w:rPr>
          <w:rFonts w:hint="eastAsia"/>
        </w:rPr>
        <w:t>Principles:</w:t>
      </w:r>
    </w:p>
    <w:bookmarkEnd w:id="27"/>
    <w:p>
      <w:pPr>
        <w:numPr>
          <w:ilvl w:val="0"/>
          <w:numId w:val="14"/>
        </w:numPr>
      </w:pPr>
      <w:bookmarkStart w:id="28" w:name="OLE_LINK8"/>
      <w:bookmarkStart w:id="29" w:name="OLE_LINK5"/>
      <w:r>
        <w:rPr>
          <w:rFonts w:hint="eastAsia"/>
        </w:rPr>
        <w:t>Parameters and corresponding values depend on</w:t>
      </w:r>
      <w:bookmarkEnd w:id="28"/>
      <w:r>
        <w:rPr>
          <w:rFonts w:hint="eastAsia"/>
        </w:rPr>
        <w:t xml:space="preserve"> </w:t>
      </w:r>
      <w:bookmarkEnd w:id="29"/>
      <w:r>
        <w:rPr>
          <w:rFonts w:hint="eastAsia"/>
        </w:rPr>
        <w:t>th</w:t>
      </w:r>
      <w:bookmarkStart w:id="30" w:name="OLE_LINK18"/>
      <w:r>
        <w:rPr>
          <w:rFonts w:hint="eastAsia"/>
        </w:rPr>
        <w:t>e d</w:t>
      </w:r>
      <w:r>
        <w:t>eployment scenarios</w:t>
      </w:r>
      <w:r>
        <w:rPr>
          <w:rFonts w:hint="eastAsia"/>
        </w:rPr>
        <w:t xml:space="preserve"> of LP-WUS, such as U</w:t>
      </w:r>
      <w:r>
        <w:t>rban</w:t>
      </w:r>
      <w:r>
        <w:rPr>
          <w:rFonts w:hint="eastAsia"/>
        </w:rPr>
        <w:t xml:space="preserve">, </w:t>
      </w:r>
      <w:r>
        <w:t>Rural</w:t>
      </w:r>
      <w:r>
        <w:rPr>
          <w:rFonts w:hint="eastAsia"/>
        </w:rPr>
        <w:t xml:space="preserve">, </w:t>
      </w:r>
      <w:r>
        <w:t>Indoor.</w:t>
      </w:r>
      <w:r>
        <w:rPr>
          <w:rFonts w:hint="eastAsia"/>
        </w:rPr>
        <w:t xml:space="preserve"> </w:t>
      </w:r>
      <w:bookmarkStart w:id="31" w:name="OLE_LINK9"/>
      <w:r>
        <w:t>LLS /Link budget parameter</w:t>
      </w:r>
      <w:r>
        <w:rPr>
          <w:rFonts w:hint="eastAsia"/>
        </w:rPr>
        <w:t xml:space="preserve"> of the above scenarios in TR38.875 can be used as reference.</w:t>
      </w:r>
      <w:bookmarkEnd w:id="30"/>
      <w:bookmarkEnd w:id="31"/>
    </w:p>
    <w:p>
      <w:pPr>
        <w:numPr>
          <w:ilvl w:val="0"/>
          <w:numId w:val="14"/>
        </w:numPr>
      </w:pPr>
      <w:r>
        <w:t>For additional deployment scenarios</w:t>
      </w:r>
      <w:r>
        <w:rPr>
          <w:rFonts w:hint="eastAsia"/>
        </w:rPr>
        <w:t>, parameters and corresponding values depend on compan</w:t>
      </w:r>
      <w:r>
        <w:t>ies’</w:t>
      </w:r>
      <w:r>
        <w:rPr>
          <w:rFonts w:hint="eastAsia"/>
        </w:rPr>
        <w:t xml:space="preserve"> report.</w:t>
      </w:r>
    </w:p>
    <w:p>
      <w:pPr>
        <w:rPr>
          <w:b/>
          <w:bCs/>
        </w:rPr>
      </w:pPr>
      <w:r>
        <w:t> </w:t>
      </w:r>
      <w:r>
        <w:rPr>
          <w:b/>
          <w:bCs/>
        </w:rPr>
        <w:t>LP-WUS transmission configuration</w:t>
      </w:r>
      <w:r>
        <w:rPr>
          <w:rFonts w:hint="eastAsia"/>
          <w:b/>
          <w:bCs/>
        </w:rPr>
        <w:t>s</w:t>
      </w:r>
    </w:p>
    <w:p>
      <w:r>
        <w:rPr>
          <w:rFonts w:hint="eastAsia"/>
        </w:rPr>
        <w:t xml:space="preserve">The relevant parameters include gNB </w:t>
      </w:r>
      <w:r>
        <w:t>antenna configuration</w:t>
      </w:r>
      <w:r>
        <w:rPr>
          <w:rFonts w:hint="eastAsia"/>
        </w:rPr>
        <w:t>, LP-</w:t>
      </w:r>
      <w:r>
        <w:t xml:space="preserve">WUS </w:t>
      </w:r>
      <w:r>
        <w:rPr>
          <w:rFonts w:hint="eastAsia"/>
        </w:rPr>
        <w:t>designs</w:t>
      </w:r>
      <w:r>
        <w:t xml:space="preserve"> </w:t>
      </w:r>
      <w:r>
        <w:rPr>
          <w:rFonts w:hint="eastAsia"/>
        </w:rPr>
        <w:t>(</w:t>
      </w:r>
      <w:r>
        <w:t>bandwidth</w:t>
      </w:r>
      <w:r>
        <w:rPr>
          <w:rFonts w:hint="eastAsia"/>
        </w:rPr>
        <w:t xml:space="preserve">, </w:t>
      </w:r>
      <w:r>
        <w:t>subcarrier spacing</w:t>
      </w:r>
      <w:r>
        <w:rPr>
          <w:rFonts w:hint="eastAsia"/>
        </w:rPr>
        <w:t>, w</w:t>
      </w:r>
      <w:r>
        <w:t>aveform</w:t>
      </w:r>
      <w:r>
        <w:rPr>
          <w:rFonts w:hint="eastAsia"/>
        </w:rPr>
        <w:t xml:space="preserve">, </w:t>
      </w:r>
      <w:r>
        <w:t>sequence</w:t>
      </w:r>
      <w:r>
        <w:rPr>
          <w:rFonts w:hint="eastAsia"/>
        </w:rPr>
        <w:t xml:space="preserve"> in time domain) and interference modeling.</w:t>
      </w:r>
    </w:p>
    <w:p>
      <w:r>
        <w:rPr>
          <w:rFonts w:hint="eastAsia"/>
        </w:rPr>
        <w:t>Principles:</w:t>
      </w:r>
    </w:p>
    <w:p>
      <w:pPr>
        <w:numPr>
          <w:ilvl w:val="0"/>
          <w:numId w:val="15"/>
        </w:numPr>
      </w:pPr>
      <w:bookmarkStart w:id="32" w:name="OLE_LINK16"/>
      <w:r>
        <w:rPr>
          <w:rFonts w:hint="eastAsia"/>
        </w:rPr>
        <w:t>Depends on proposed LP-WUS designs</w:t>
      </w:r>
      <w:bookmarkStart w:id="33" w:name="OLE_LINK10"/>
      <w:r>
        <w:t xml:space="preserve"> </w:t>
      </w:r>
      <w:r>
        <w:rPr>
          <w:rFonts w:hint="eastAsia"/>
        </w:rPr>
        <w:t>(AI9.14.3)</w:t>
      </w:r>
      <w:bookmarkEnd w:id="33"/>
      <w:r>
        <w:rPr>
          <w:rFonts w:hint="eastAsia"/>
        </w:rPr>
        <w:t xml:space="preserve"> and corresponding LP-WUS Receiver architectures</w:t>
      </w:r>
      <w:r>
        <w:t xml:space="preserve"> </w:t>
      </w:r>
      <w:r>
        <w:rPr>
          <w:rFonts w:hint="eastAsia"/>
        </w:rPr>
        <w:t>(AI9.14.2);</w:t>
      </w:r>
    </w:p>
    <w:bookmarkEnd w:id="32"/>
    <w:p>
      <w:pPr>
        <w:numPr>
          <w:ilvl w:val="0"/>
          <w:numId w:val="15"/>
        </w:numPr>
      </w:pPr>
      <w:r>
        <w:rPr>
          <w:rFonts w:hint="eastAsia"/>
        </w:rPr>
        <w:t xml:space="preserve">For gNB </w:t>
      </w:r>
      <w:r>
        <w:t>antenna configuration</w:t>
      </w:r>
      <w:r>
        <w:rPr>
          <w:rFonts w:hint="eastAsia"/>
        </w:rPr>
        <w:t xml:space="preserve">s, the </w:t>
      </w:r>
      <w:r>
        <w:t>antenna configuration</w:t>
      </w:r>
      <w:r>
        <w:rPr>
          <w:rFonts w:hint="eastAsia"/>
        </w:rPr>
        <w:t xml:space="preserve">s in </w:t>
      </w:r>
      <w:bookmarkStart w:id="34" w:name="OLE_LINK2"/>
      <w:r>
        <w:rPr>
          <w:rFonts w:hint="eastAsia"/>
        </w:rPr>
        <w:t>TR38.875</w:t>
      </w:r>
      <w:bookmarkEnd w:id="34"/>
      <w:r>
        <w:rPr>
          <w:rFonts w:hint="eastAsia"/>
        </w:rPr>
        <w:t xml:space="preserve"> can be used as reference;</w:t>
      </w:r>
    </w:p>
    <w:p>
      <w:pPr>
        <w:numPr>
          <w:ilvl w:val="0"/>
          <w:numId w:val="15"/>
        </w:numPr>
      </w:pPr>
      <w:r>
        <w:rPr>
          <w:rFonts w:hint="eastAsia"/>
        </w:rPr>
        <w:t>For interference modeling, it may include interference from FDMed LP-WUS or DL signal/LP-WUS of neighboring cell.</w:t>
      </w:r>
    </w:p>
    <w:p>
      <w:pPr>
        <w:rPr>
          <w:b/>
          <w:bCs/>
        </w:rPr>
      </w:pPr>
      <w:r>
        <w:rPr>
          <w:b/>
          <w:bCs/>
        </w:rPr>
        <w:t>LP-WUS receiver configuration</w:t>
      </w:r>
      <w:r>
        <w:rPr>
          <w:rFonts w:hint="eastAsia"/>
          <w:b/>
          <w:bCs/>
        </w:rPr>
        <w:t>s</w:t>
      </w:r>
    </w:p>
    <w:p>
      <w:r>
        <w:rPr>
          <w:rFonts w:hint="eastAsia"/>
        </w:rPr>
        <w:t xml:space="preserve">The relevant parameters include UE antenna configuration, </w:t>
      </w:r>
      <w:r>
        <w:t>Rx filter design</w:t>
      </w:r>
      <w:r>
        <w:rPr>
          <w:rFonts w:hint="eastAsia"/>
        </w:rPr>
        <w:t xml:space="preserve"> (</w:t>
      </w:r>
      <w:r>
        <w:t xml:space="preserve">Filter type </w:t>
      </w:r>
      <w:r>
        <w:rPr>
          <w:rFonts w:hint="eastAsia"/>
        </w:rPr>
        <w:t>[</w:t>
      </w:r>
      <w:r>
        <w:t>LPF or BPF</w:t>
      </w:r>
      <w:r>
        <w:rPr>
          <w:rFonts w:hint="eastAsia"/>
        </w:rPr>
        <w:t>]</w:t>
      </w:r>
      <w:r>
        <w:t>, design method</w:t>
      </w:r>
      <w:r>
        <w:rPr>
          <w:rFonts w:hint="eastAsia"/>
        </w:rPr>
        <w:t xml:space="preserve"> [</w:t>
      </w:r>
      <w:r>
        <w:t>IIR or FIR</w:t>
      </w:r>
      <w:r>
        <w:rPr>
          <w:rFonts w:hint="eastAsia"/>
        </w:rPr>
        <w:t>]</w:t>
      </w:r>
      <w:r>
        <w:t>, Filter order]</w:t>
      </w:r>
      <w:r>
        <w:rPr>
          <w:rFonts w:hint="eastAsia"/>
        </w:rPr>
        <w:t>,</w:t>
      </w:r>
      <w:bookmarkStart w:id="35" w:name="OLE_LINK17"/>
      <w:r>
        <w:rPr>
          <w:rFonts w:hint="eastAsia"/>
        </w:rPr>
        <w:t xml:space="preserve"> LNA </w:t>
      </w:r>
      <w:r>
        <w:t>design</w:t>
      </w:r>
      <w:r>
        <w:rPr>
          <w:rFonts w:hint="eastAsia"/>
        </w:rPr>
        <w:t xml:space="preserve">, </w:t>
      </w:r>
      <w:r>
        <w:t>a</w:t>
      </w:r>
      <w:r>
        <w:rPr>
          <w:rFonts w:hint="eastAsia"/>
        </w:rPr>
        <w:t xml:space="preserve">mplifier </w:t>
      </w:r>
      <w:r>
        <w:t>design</w:t>
      </w:r>
      <w:r>
        <w:rPr>
          <w:rFonts w:hint="eastAsia"/>
        </w:rPr>
        <w:t xml:space="preserve">, </w:t>
      </w:r>
      <w:r>
        <w:t>envelope detection</w:t>
      </w:r>
      <w:r>
        <w:rPr>
          <w:rFonts w:hint="eastAsia"/>
        </w:rPr>
        <w:t xml:space="preserve"> and LP-WUS detection</w:t>
      </w:r>
      <w:bookmarkEnd w:id="35"/>
      <w:r>
        <w:rPr>
          <w:rFonts w:hint="eastAsia"/>
        </w:rPr>
        <w:t>.</w:t>
      </w:r>
    </w:p>
    <w:p>
      <w:pPr>
        <w:numPr>
          <w:ilvl w:val="0"/>
          <w:numId w:val="16"/>
        </w:numPr>
      </w:pPr>
      <w:r>
        <w:t xml:space="preserve">The parameters should be selected based on the actual LP-WUS </w:t>
      </w:r>
      <w:r>
        <w:rPr>
          <w:rFonts w:hint="eastAsia"/>
        </w:rPr>
        <w:t>r</w:t>
      </w:r>
      <w:r>
        <w:t>eceiver</w:t>
      </w:r>
      <w:r>
        <w:rPr>
          <w:rFonts w:hint="eastAsia"/>
        </w:rPr>
        <w:t xml:space="preserve"> architectures;</w:t>
      </w:r>
    </w:p>
    <w:p>
      <w:pPr>
        <w:numPr>
          <w:ilvl w:val="0"/>
          <w:numId w:val="16"/>
        </w:numPr>
      </w:pPr>
      <w:r>
        <w:rPr>
          <w:rFonts w:hint="eastAsia"/>
        </w:rPr>
        <w:t xml:space="preserve">For </w:t>
      </w:r>
      <w:r>
        <w:t>UE antenna configuration</w:t>
      </w:r>
      <w:r>
        <w:rPr>
          <w:rFonts w:hint="eastAsia"/>
        </w:rPr>
        <w:t xml:space="preserve">s, if UE antenna in </w:t>
      </w:r>
      <w:r>
        <w:t>m</w:t>
      </w:r>
      <w:r>
        <w:rPr>
          <w:rFonts w:hint="eastAsia"/>
        </w:rPr>
        <w:t xml:space="preserve">ain </w:t>
      </w:r>
      <w:r>
        <w:t>r</w:t>
      </w:r>
      <w:r>
        <w:rPr>
          <w:rFonts w:hint="eastAsia"/>
        </w:rPr>
        <w:t xml:space="preserve">adio can also be used for LP-WUS reception, the </w:t>
      </w:r>
      <w:r>
        <w:t>antenna configuration</w:t>
      </w:r>
      <w:r>
        <w:rPr>
          <w:rFonts w:hint="eastAsia"/>
        </w:rPr>
        <w:t>s in TR38.875 can be used as reference; otherwise, it depend</w:t>
      </w:r>
      <w:r>
        <w:t>s</w:t>
      </w:r>
      <w:r>
        <w:rPr>
          <w:rFonts w:hint="eastAsia"/>
        </w:rPr>
        <w:t xml:space="preserve"> on company report. Moreover, if UE antenna number is larger than 1, how to embody the receiving combining gain for multiple antenna can also be discussed especially when FR2 is supported for LP-WUS transmission.</w:t>
      </w:r>
    </w:p>
    <w:p>
      <w:pPr>
        <w:numPr>
          <w:ilvl w:val="0"/>
          <w:numId w:val="16"/>
        </w:numPr>
      </w:pPr>
      <w:r>
        <w:rPr>
          <w:rFonts w:hint="eastAsia"/>
        </w:rPr>
        <w:t xml:space="preserve">Should </w:t>
      </w:r>
      <w:r>
        <w:t xml:space="preserve">the </w:t>
      </w:r>
      <w:r>
        <w:rPr>
          <w:rFonts w:hint="eastAsia"/>
        </w:rPr>
        <w:t xml:space="preserve">modeling of LNA and </w:t>
      </w:r>
      <w:r>
        <w:t>a</w:t>
      </w:r>
      <w:r>
        <w:rPr>
          <w:rFonts w:hint="eastAsia"/>
        </w:rPr>
        <w:t xml:space="preserve">mplifier </w:t>
      </w:r>
      <w:r>
        <w:t xml:space="preserve">be </w:t>
      </w:r>
      <w:r>
        <w:rPr>
          <w:rFonts w:hint="eastAsia"/>
        </w:rPr>
        <w:t>consider</w:t>
      </w:r>
      <w:r>
        <w:t>ed in</w:t>
      </w:r>
      <w:r>
        <w:rPr>
          <w:rFonts w:hint="eastAsia"/>
        </w:rPr>
        <w:t xml:space="preserve"> LLS for LP-WUS?</w:t>
      </w:r>
    </w:p>
    <w:p>
      <w:pPr>
        <w:numPr>
          <w:ilvl w:val="0"/>
          <w:numId w:val="16"/>
        </w:numPr>
      </w:pPr>
      <w:r>
        <w:rPr>
          <w:rFonts w:hint="eastAsia"/>
        </w:rPr>
        <w:t>Other parameters that are not mentioned in TR38.875</w:t>
      </w:r>
      <w:r>
        <w:t xml:space="preserve"> and have</w:t>
      </w:r>
      <w:r>
        <w:rPr>
          <w:rFonts w:hint="eastAsia"/>
        </w:rPr>
        <w:t xml:space="preserve"> impact on the LP-WUS detection performance</w:t>
      </w:r>
      <w:r>
        <w:t>,</w:t>
      </w:r>
      <w:r>
        <w:rPr>
          <w:rFonts w:hint="eastAsia"/>
        </w:rPr>
        <w:t xml:space="preserve"> especially for FR2 if supported</w:t>
      </w:r>
      <w:r>
        <w:t>,</w:t>
      </w:r>
      <w:r>
        <w:rPr>
          <w:rFonts w:hint="eastAsia"/>
        </w:rPr>
        <w:t xml:space="preserve"> should be specified for LP-WUS receiver.</w:t>
      </w:r>
    </w:p>
    <w:p>
      <w:pPr>
        <w:rPr>
          <w:b/>
          <w:bCs/>
        </w:rPr>
      </w:pPr>
      <w:r>
        <w:rPr>
          <w:b/>
          <w:bCs/>
        </w:rPr>
        <w:t>Performance metrics</w:t>
      </w:r>
    </w:p>
    <w:p>
      <w:r>
        <w:rPr>
          <w:rFonts w:hint="eastAsia"/>
        </w:rPr>
        <w:t xml:space="preserve">The relevant metrics include </w:t>
      </w:r>
      <w:r>
        <w:t>false alarm rate</w:t>
      </w:r>
      <w:r>
        <w:rPr>
          <w:rFonts w:hint="eastAsia"/>
        </w:rPr>
        <w:t xml:space="preserve"> and </w:t>
      </w:r>
      <w:r>
        <w:t>miss</w:t>
      </w:r>
      <w:r>
        <w:rPr>
          <w:rFonts w:hint="eastAsia"/>
        </w:rPr>
        <w:t xml:space="preserve"> </w:t>
      </w:r>
      <w:r>
        <w:t>detection rate should be determined in LLS</w:t>
      </w:r>
      <w:r>
        <w:rPr>
          <w:rFonts w:hint="eastAsia"/>
        </w:rPr>
        <w:t>.</w:t>
      </w:r>
    </w:p>
    <w:p>
      <w:pPr>
        <w:rPr>
          <w:b/>
          <w:bCs/>
          <w:i/>
          <w:iCs/>
        </w:rPr>
      </w:pPr>
      <w:r>
        <w:rPr>
          <w:rFonts w:hint="eastAsia"/>
          <w:b/>
          <w:bCs/>
          <w:i/>
          <w:iCs/>
        </w:rPr>
        <w:t>Proposal 1</w:t>
      </w:r>
      <w:r>
        <w:rPr>
          <w:b/>
          <w:bCs/>
          <w:i/>
          <w:iCs/>
        </w:rPr>
        <w:t>4</w:t>
      </w:r>
      <w:r>
        <w:rPr>
          <w:rFonts w:hint="eastAsia"/>
          <w:b/>
          <w:bCs/>
          <w:i/>
          <w:iCs/>
        </w:rPr>
        <w:t xml:space="preserve">: Regarding LLS assumptions for LP-WUS receiver, </w:t>
      </w:r>
      <w:r>
        <w:rPr>
          <w:b/>
          <w:bCs/>
          <w:i/>
          <w:iCs/>
        </w:rPr>
        <w:t xml:space="preserve">the aspects such as </w:t>
      </w:r>
      <w:r>
        <w:rPr>
          <w:rFonts w:hint="eastAsia"/>
          <w:b/>
          <w:bCs/>
          <w:i/>
          <w:iCs/>
        </w:rPr>
        <w:t>system configuration, LP-WUS transmission configuration, LP-WUS receiver configuration and performance metrics should be considered and studied.</w:t>
      </w:r>
    </w:p>
    <w:p>
      <w:pPr>
        <w:numPr>
          <w:ilvl w:val="0"/>
          <w:numId w:val="17"/>
        </w:numPr>
        <w:rPr>
          <w:b/>
          <w:bCs/>
          <w:i/>
          <w:iCs/>
        </w:rPr>
      </w:pPr>
      <w:r>
        <w:rPr>
          <w:rFonts w:hint="eastAsia"/>
          <w:b/>
          <w:bCs/>
          <w:i/>
          <w:iCs/>
        </w:rPr>
        <w:t>For s</w:t>
      </w:r>
      <w:r>
        <w:rPr>
          <w:b/>
          <w:bCs/>
          <w:i/>
          <w:iCs/>
        </w:rPr>
        <w:t>ystem configuration</w:t>
      </w:r>
      <w:r>
        <w:rPr>
          <w:rFonts w:hint="eastAsia"/>
          <w:b/>
          <w:bCs/>
          <w:i/>
          <w:iCs/>
        </w:rPr>
        <w:t xml:space="preserve">s, </w:t>
      </w:r>
      <w:r>
        <w:rPr>
          <w:b/>
          <w:bCs/>
          <w:i/>
          <w:iCs/>
        </w:rPr>
        <w:t>LLS /link budget parameter</w:t>
      </w:r>
      <w:r>
        <w:rPr>
          <w:rFonts w:hint="eastAsia"/>
          <w:b/>
          <w:bCs/>
          <w:i/>
          <w:iCs/>
        </w:rPr>
        <w:t xml:space="preserve"> in TR38.875 can be used as reference.</w:t>
      </w:r>
    </w:p>
    <w:p>
      <w:pPr>
        <w:numPr>
          <w:ilvl w:val="0"/>
          <w:numId w:val="17"/>
        </w:numPr>
      </w:pPr>
      <w:r>
        <w:rPr>
          <w:rFonts w:hint="eastAsia"/>
          <w:b/>
          <w:bCs/>
          <w:i/>
          <w:iCs/>
        </w:rPr>
        <w:t>For LP-WUS transmission configuration, LP-WUS receiver configuration and performance metrics, they depend on LP-WUS designs and corresponding LP-WUS receiver architectures.</w:t>
      </w:r>
    </w:p>
    <w:p>
      <w:pPr>
        <w:pStyle w:val="2"/>
        <w:spacing w:before="120" w:beforeLines="50" w:after="120" w:afterLines="50" w:line="360" w:lineRule="auto"/>
        <w:ind w:left="431" w:hanging="431"/>
        <w:rPr>
          <w:sz w:val="32"/>
          <w:szCs w:val="32"/>
          <w:lang w:val="en-US"/>
        </w:rPr>
      </w:pPr>
      <w:r>
        <w:rPr>
          <w:rFonts w:hint="eastAsia"/>
          <w:sz w:val="32"/>
          <w:szCs w:val="32"/>
          <w:lang w:val="en-US"/>
        </w:rPr>
        <w:t>Conclusions</w:t>
      </w:r>
    </w:p>
    <w:bookmarkEnd w:id="22"/>
    <w:p>
      <w:pPr>
        <w:tabs>
          <w:tab w:val="left" w:pos="0"/>
        </w:tabs>
        <w:spacing w:before="120" w:beforeLines="50" w:afterLines="50" w:line="276" w:lineRule="auto"/>
        <w:rPr>
          <w:lang w:eastAsia="ja-JP"/>
        </w:rPr>
      </w:pPr>
      <w:r>
        <w:rPr>
          <w:lang w:eastAsia="ja-JP"/>
        </w:rPr>
        <w:t xml:space="preserve">In this contribution, </w:t>
      </w:r>
      <w:r>
        <w:rPr>
          <w:rFonts w:hint="eastAsia"/>
        </w:rPr>
        <w:t xml:space="preserve">we have discussed evaluation </w:t>
      </w:r>
      <w:r>
        <w:rPr>
          <w:rFonts w:hint="eastAsia"/>
          <w:szCs w:val="20"/>
        </w:rPr>
        <w:t>on LP-WUS</w:t>
      </w:r>
      <w:r>
        <w:t>.</w:t>
      </w:r>
      <w:r>
        <w:rPr>
          <w:rFonts w:hint="eastAsia"/>
        </w:rPr>
        <w:t xml:space="preserve"> </w:t>
      </w:r>
      <w:r>
        <w:rPr>
          <w:lang w:eastAsia="ja-JP"/>
        </w:rPr>
        <w:t>We make the following proposals:</w:t>
      </w:r>
    </w:p>
    <w:p>
      <w:pPr>
        <w:rPr>
          <w:b/>
          <w:bCs/>
          <w:i/>
          <w:iCs/>
        </w:rPr>
      </w:pPr>
      <w:bookmarkStart w:id="36" w:name="OLE_LINK25"/>
      <w:r>
        <w:rPr>
          <w:rFonts w:hint="eastAsia"/>
          <w:b/>
          <w:bCs/>
          <w:i/>
          <w:iCs/>
        </w:rPr>
        <w:t>Proposal 1: The following aspects should be considered for any studied use case for LP-WUS</w:t>
      </w:r>
    </w:p>
    <w:p>
      <w:pPr>
        <w:numPr>
          <w:ilvl w:val="0"/>
          <w:numId w:val="8"/>
        </w:numPr>
        <w:rPr>
          <w:b/>
          <w:bCs/>
          <w:i/>
          <w:iCs/>
        </w:rPr>
      </w:pPr>
      <w:r>
        <w:rPr>
          <w:rFonts w:hint="eastAsia"/>
          <w:b/>
          <w:bCs/>
          <w:i/>
          <w:iCs/>
        </w:rPr>
        <w:t>Traffic model</w:t>
      </w:r>
    </w:p>
    <w:p>
      <w:pPr>
        <w:numPr>
          <w:ilvl w:val="0"/>
          <w:numId w:val="8"/>
        </w:numPr>
        <w:rPr>
          <w:b/>
          <w:bCs/>
          <w:i/>
          <w:iCs/>
        </w:rPr>
      </w:pPr>
      <w:r>
        <w:rPr>
          <w:b/>
          <w:bCs/>
          <w:i/>
          <w:iCs/>
        </w:rPr>
        <w:t xml:space="preserve">Power consumption ratio of idle </w:t>
      </w:r>
      <w:r>
        <w:rPr>
          <w:rFonts w:hint="eastAsia"/>
          <w:b/>
          <w:bCs/>
          <w:i/>
          <w:iCs/>
        </w:rPr>
        <w:t xml:space="preserve">mode and connected mode </w:t>
      </w:r>
    </w:p>
    <w:p>
      <w:pPr>
        <w:rPr>
          <w:b/>
          <w:bCs/>
          <w:i/>
          <w:iCs/>
        </w:rPr>
      </w:pPr>
      <w:r>
        <w:rPr>
          <w:rFonts w:hint="eastAsia"/>
          <w:b/>
          <w:bCs/>
          <w:i/>
          <w:iCs/>
        </w:rPr>
        <w:t>Proposal 2: The following KPIs of LP-WUS should be considered</w:t>
      </w:r>
    </w:p>
    <w:p>
      <w:pPr>
        <w:numPr>
          <w:ilvl w:val="0"/>
          <w:numId w:val="8"/>
        </w:numPr>
        <w:rPr>
          <w:b/>
          <w:bCs/>
          <w:i/>
          <w:iCs/>
        </w:rPr>
      </w:pPr>
      <w:r>
        <w:rPr>
          <w:rFonts w:hint="eastAsia"/>
          <w:b/>
          <w:bCs/>
          <w:i/>
          <w:iCs/>
        </w:rPr>
        <w:t>For UE side</w:t>
      </w:r>
    </w:p>
    <w:p>
      <w:pPr>
        <w:numPr>
          <w:ilvl w:val="0"/>
          <w:numId w:val="9"/>
        </w:numPr>
        <w:rPr>
          <w:b/>
          <w:bCs/>
          <w:i/>
          <w:iCs/>
        </w:rPr>
      </w:pPr>
      <w:r>
        <w:rPr>
          <w:rFonts w:hint="eastAsia"/>
          <w:b/>
          <w:bCs/>
          <w:i/>
          <w:iCs/>
        </w:rPr>
        <w:t>Power saving gain</w:t>
      </w:r>
    </w:p>
    <w:p>
      <w:pPr>
        <w:numPr>
          <w:ilvl w:val="0"/>
          <w:numId w:val="9"/>
        </w:numPr>
        <w:rPr>
          <w:b/>
          <w:bCs/>
          <w:i/>
          <w:iCs/>
        </w:rPr>
      </w:pPr>
      <w:r>
        <w:rPr>
          <w:rFonts w:hint="eastAsia"/>
          <w:b/>
          <w:bCs/>
          <w:i/>
          <w:iCs/>
        </w:rPr>
        <w:t>Latency</w:t>
      </w:r>
    </w:p>
    <w:p>
      <w:pPr>
        <w:numPr>
          <w:ilvl w:val="0"/>
          <w:numId w:val="9"/>
        </w:numPr>
        <w:rPr>
          <w:b/>
          <w:bCs/>
          <w:i/>
          <w:iCs/>
        </w:rPr>
      </w:pPr>
      <w:r>
        <w:rPr>
          <w:rFonts w:hint="eastAsia"/>
          <w:b/>
          <w:bCs/>
          <w:i/>
          <w:iCs/>
        </w:rPr>
        <w:t>Complexity increase</w:t>
      </w:r>
    </w:p>
    <w:p>
      <w:pPr>
        <w:numPr>
          <w:ilvl w:val="0"/>
          <w:numId w:val="8"/>
        </w:numPr>
        <w:rPr>
          <w:b/>
          <w:bCs/>
          <w:i/>
          <w:iCs/>
        </w:rPr>
      </w:pPr>
      <w:r>
        <w:rPr>
          <w:rFonts w:hint="eastAsia"/>
          <w:b/>
          <w:bCs/>
          <w:i/>
          <w:iCs/>
        </w:rPr>
        <w:t>For gNB side</w:t>
      </w:r>
    </w:p>
    <w:p>
      <w:pPr>
        <w:numPr>
          <w:ilvl w:val="0"/>
          <w:numId w:val="9"/>
        </w:numPr>
        <w:rPr>
          <w:b/>
          <w:bCs/>
          <w:i/>
          <w:iCs/>
        </w:rPr>
      </w:pPr>
      <w:r>
        <w:rPr>
          <w:rFonts w:hint="eastAsia"/>
          <w:b/>
          <w:bCs/>
          <w:i/>
          <w:iCs/>
        </w:rPr>
        <w:t>Coverage</w:t>
      </w:r>
    </w:p>
    <w:p>
      <w:pPr>
        <w:numPr>
          <w:ilvl w:val="0"/>
          <w:numId w:val="9"/>
        </w:numPr>
        <w:rPr>
          <w:b/>
          <w:bCs/>
          <w:i/>
          <w:iCs/>
        </w:rPr>
      </w:pPr>
      <w:r>
        <w:rPr>
          <w:rFonts w:hint="eastAsia"/>
          <w:b/>
          <w:bCs/>
          <w:i/>
          <w:iCs/>
        </w:rPr>
        <w:t>Co-existence</w:t>
      </w:r>
    </w:p>
    <w:p>
      <w:pPr>
        <w:numPr>
          <w:ilvl w:val="0"/>
          <w:numId w:val="9"/>
        </w:numPr>
        <w:rPr>
          <w:b/>
          <w:bCs/>
          <w:i/>
          <w:iCs/>
        </w:rPr>
      </w:pPr>
      <w:r>
        <w:rPr>
          <w:rFonts w:hint="eastAsia"/>
          <w:b/>
          <w:bCs/>
          <w:i/>
          <w:iCs/>
        </w:rPr>
        <w:t>Network power consumption/resource overhead/capacity</w:t>
      </w:r>
    </w:p>
    <w:p>
      <w:pPr>
        <w:numPr>
          <w:ilvl w:val="0"/>
          <w:numId w:val="8"/>
        </w:numPr>
        <w:rPr>
          <w:b/>
          <w:bCs/>
          <w:i/>
          <w:iCs/>
        </w:rPr>
      </w:pPr>
      <w:r>
        <w:rPr>
          <w:rFonts w:hint="eastAsia"/>
          <w:b/>
          <w:bCs/>
          <w:i/>
          <w:iCs/>
        </w:rPr>
        <w:t>For LP-WUS</w:t>
      </w:r>
    </w:p>
    <w:p>
      <w:pPr>
        <w:numPr>
          <w:ilvl w:val="0"/>
          <w:numId w:val="9"/>
        </w:numPr>
        <w:rPr>
          <w:b/>
          <w:bCs/>
          <w:i/>
          <w:iCs/>
        </w:rPr>
      </w:pPr>
      <w:r>
        <w:rPr>
          <w:rFonts w:hint="eastAsia"/>
          <w:b/>
          <w:bCs/>
          <w:i/>
          <w:iCs/>
        </w:rPr>
        <w:t>False alarm rate</w:t>
      </w:r>
    </w:p>
    <w:p>
      <w:pPr>
        <w:numPr>
          <w:ilvl w:val="0"/>
          <w:numId w:val="9"/>
        </w:numPr>
        <w:rPr>
          <w:b/>
          <w:bCs/>
          <w:i/>
          <w:iCs/>
        </w:rPr>
      </w:pPr>
      <w:r>
        <w:rPr>
          <w:rFonts w:hint="eastAsia"/>
          <w:b/>
          <w:bCs/>
          <w:i/>
          <w:iCs/>
        </w:rPr>
        <w:t>Miss detection rate/BLER</w:t>
      </w:r>
    </w:p>
    <w:p>
      <w:pPr>
        <w:numPr>
          <w:ilvl w:val="0"/>
          <w:numId w:val="9"/>
        </w:numPr>
        <w:rPr>
          <w:b/>
          <w:bCs/>
          <w:i/>
          <w:iCs/>
        </w:rPr>
      </w:pPr>
      <w:r>
        <w:rPr>
          <w:rFonts w:hint="eastAsia"/>
          <w:b/>
          <w:bCs/>
          <w:i/>
          <w:iCs/>
        </w:rPr>
        <w:t>Sync performance</w:t>
      </w:r>
    </w:p>
    <w:p>
      <w:pPr>
        <w:rPr>
          <w:b/>
          <w:bCs/>
          <w:i/>
          <w:iCs/>
        </w:rPr>
      </w:pPr>
      <w:r>
        <w:rPr>
          <w:rFonts w:hint="eastAsia"/>
          <w:b/>
          <w:bCs/>
          <w:i/>
          <w:iCs/>
        </w:rPr>
        <w:t>Proposal 3: The deployment scenarios for LP-WUS includes Urban, Rural and Indoor.</w:t>
      </w:r>
    </w:p>
    <w:p>
      <w:pPr>
        <w:numPr>
          <w:ilvl w:val="0"/>
          <w:numId w:val="10"/>
        </w:numPr>
        <w:spacing w:before="120" w:beforeLines="50" w:after="240"/>
        <w:rPr>
          <w:b/>
          <w:bCs/>
          <w:i/>
          <w:iCs/>
        </w:rPr>
      </w:pPr>
      <w:r>
        <w:rPr>
          <w:rFonts w:hint="eastAsia"/>
          <w:b/>
          <w:bCs/>
          <w:i/>
          <w:iCs/>
        </w:rPr>
        <w:t>Further discuss and decide which deployment can be optionally evaluated.</w:t>
      </w:r>
    </w:p>
    <w:p>
      <w:pPr>
        <w:rPr>
          <w:b/>
          <w:bCs/>
          <w:i/>
          <w:iCs/>
        </w:rPr>
      </w:pPr>
      <w:r>
        <w:rPr>
          <w:rFonts w:hint="eastAsia"/>
          <w:b/>
          <w:bCs/>
          <w:i/>
          <w:iCs/>
        </w:rPr>
        <w:t xml:space="preserve">Proposal </w:t>
      </w:r>
      <w:r>
        <w:rPr>
          <w:b/>
          <w:bCs/>
          <w:i/>
          <w:iCs/>
        </w:rPr>
        <w:t>4</w:t>
      </w:r>
      <w:r>
        <w:rPr>
          <w:rFonts w:hint="eastAsia"/>
          <w:b/>
          <w:bCs/>
          <w:i/>
          <w:iCs/>
        </w:rPr>
        <w:t xml:space="preserve">: </w:t>
      </w:r>
      <w:r>
        <w:rPr>
          <w:b/>
          <w:bCs/>
          <w:i/>
          <w:iCs/>
        </w:rPr>
        <w:t>If XR service is considered in LP-WUS study, the evaluation methodology in TR 38.838 can be reused.</w:t>
      </w:r>
    </w:p>
    <w:p>
      <w:pPr>
        <w:numPr>
          <w:ilvl w:val="0"/>
          <w:numId w:val="10"/>
        </w:numPr>
        <w:spacing w:before="120" w:beforeLines="50" w:after="240"/>
        <w:rPr>
          <w:b/>
          <w:bCs/>
          <w:i/>
          <w:iCs/>
        </w:rPr>
      </w:pPr>
      <w:r>
        <w:rPr>
          <w:rFonts w:hint="eastAsia"/>
          <w:b/>
          <w:bCs/>
          <w:i/>
          <w:iCs/>
        </w:rPr>
        <w:t>F</w:t>
      </w:r>
      <w:r>
        <w:rPr>
          <w:b/>
          <w:bCs/>
          <w:i/>
          <w:iCs/>
        </w:rPr>
        <w:t>FS</w:t>
      </w:r>
      <w:r>
        <w:rPr>
          <w:rFonts w:hint="eastAsia"/>
          <w:b/>
          <w:bCs/>
          <w:i/>
          <w:iCs/>
        </w:rPr>
        <w:t xml:space="preserve"> </w:t>
      </w:r>
      <w:r>
        <w:rPr>
          <w:b/>
          <w:bCs/>
          <w:i/>
          <w:iCs/>
        </w:rPr>
        <w:t>parameters</w:t>
      </w:r>
      <w:r>
        <w:rPr>
          <w:rFonts w:hint="eastAsia"/>
          <w:b/>
          <w:bCs/>
          <w:i/>
          <w:iCs/>
          <w:lang w:val="en-US" w:eastAsia="zh-CN"/>
        </w:rPr>
        <w:t>,</w:t>
      </w:r>
      <w:r>
        <w:rPr>
          <w:b/>
          <w:bCs/>
          <w:i/>
          <w:iCs/>
        </w:rPr>
        <w:t xml:space="preserve"> such as jitter range</w:t>
      </w:r>
      <w:r>
        <w:rPr>
          <w:rFonts w:hint="eastAsia"/>
          <w:b/>
          <w:bCs/>
          <w:i/>
          <w:iCs/>
          <w:lang w:val="en-US" w:eastAsia="zh-CN"/>
        </w:rPr>
        <w:t>,</w:t>
      </w:r>
      <w:r>
        <w:rPr>
          <w:b/>
          <w:bCs/>
          <w:i/>
          <w:iCs/>
        </w:rPr>
        <w:t xml:space="preserve"> need to be </w:t>
      </w:r>
      <w:r>
        <w:rPr>
          <w:rFonts w:hint="eastAsia"/>
          <w:b/>
          <w:bCs/>
          <w:i/>
          <w:iCs/>
          <w:lang w:val="en-US" w:eastAsia="zh-CN"/>
        </w:rPr>
        <w:t>updated</w:t>
      </w:r>
      <w:bookmarkStart w:id="37" w:name="_GoBack"/>
      <w:bookmarkEnd w:id="37"/>
      <w:r>
        <w:rPr>
          <w:b/>
          <w:bCs/>
          <w:i/>
          <w:iCs/>
        </w:rPr>
        <w:t>.</w:t>
      </w:r>
    </w:p>
    <w:p>
      <w:pPr>
        <w:rPr>
          <w:rFonts w:hAnsi="Cambria Math"/>
          <w:b/>
          <w:bCs/>
          <w:i/>
          <w:iCs/>
          <w:szCs w:val="20"/>
        </w:rPr>
      </w:pPr>
      <w:r>
        <w:rPr>
          <w:rFonts w:hint="eastAsia"/>
          <w:b/>
          <w:bCs/>
          <w:i/>
          <w:iCs/>
          <w:szCs w:val="20"/>
        </w:rPr>
        <w:t xml:space="preserve">Proposal </w:t>
      </w:r>
      <w:r>
        <w:rPr>
          <w:b/>
          <w:bCs/>
          <w:i/>
          <w:iCs/>
          <w:szCs w:val="20"/>
        </w:rPr>
        <w:t>5</w:t>
      </w:r>
      <w:r>
        <w:rPr>
          <w:rFonts w:hint="eastAsia"/>
          <w:b/>
          <w:bCs/>
          <w:i/>
          <w:iCs/>
          <w:szCs w:val="20"/>
        </w:rPr>
        <w:t>: The method to calculate the total power consumption can be based on the power consumption of main radio, t</w:t>
      </w:r>
      <w:r>
        <w:rPr>
          <w:rFonts w:hint="eastAsia" w:hAnsi="Cambria Math"/>
          <w:b/>
          <w:bCs/>
          <w:i/>
          <w:iCs/>
          <w:szCs w:val="20"/>
        </w:rPr>
        <w:t>he power consumption for LP-WUS receiver, and the power consumption for RRM measurement.</w:t>
      </w:r>
    </w:p>
    <w:p>
      <w:pPr>
        <w:jc w:val="center"/>
        <w:rPr>
          <w:rFonts w:ascii="Cambria Math" w:hAnsi="Cambria Math"/>
          <w:b/>
          <w:szCs w:val="20"/>
        </w:rPr>
      </w:pPr>
      <m:oMathPara>
        <m:oMath>
          <m:sSub>
            <m:sSubPr>
              <m:ctrlPr>
                <w:rPr>
                  <w:rFonts w:ascii="Cambria Math" w:hAnsi="Cambria Math"/>
                  <w:b/>
                  <w:i/>
                  <w:szCs w:val="20"/>
                </w:rPr>
              </m:ctrlPr>
            </m:sSub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total</m:t>
              </m:r>
              <m:ctrlPr>
                <w:rPr>
                  <w:rFonts w:ascii="Cambria Math" w:hAnsi="Cambria Math"/>
                  <w:b/>
                  <w:i/>
                  <w:szCs w:val="20"/>
                </w:rPr>
              </m:ctrlPr>
            </m:sub>
          </m:sSub>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ctrlPr>
                <w:rPr>
                  <w:rFonts w:hint="eastAsia" w:ascii="Cambria Math" w:hAnsi="Cambria Math"/>
                  <w:b/>
                  <w:i/>
                  <w:szCs w:val="20"/>
                </w:rPr>
              </m:ctrlPr>
            </m:sub>
            <m:sup>
              <m:r>
                <m:rPr>
                  <m:sty m:val="bi"/>
                </m:rPr>
                <w:rPr>
                  <w:rFonts w:ascii="Cambria Math" w:hAnsi="Cambria Math"/>
                  <w:szCs w:val="20"/>
                </w:rPr>
                <m:t>WUR</m:t>
              </m:r>
              <m:ctrlPr>
                <w:rPr>
                  <w:rFonts w:hint="eastAsia"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measurment</m:t>
              </m:r>
              <m:ctrlPr>
                <w:rPr>
                  <w:rFonts w:ascii="Cambria Math" w:hAnsi="Cambria Math"/>
                  <w:b/>
                  <w:i/>
                  <w:szCs w:val="20"/>
                </w:rPr>
              </m:ctrlPr>
            </m:sub>
            <m:sup>
              <m:ctrlPr>
                <w:rPr>
                  <w:rFonts w:ascii="Cambria Math" w:hAnsi="Cambria Math"/>
                  <w:b/>
                  <w:i/>
                  <w:szCs w:val="20"/>
                </w:rPr>
              </m:ctrlPr>
            </m:sup>
          </m:sSubSup>
        </m:oMath>
      </m:oMathPara>
    </w:p>
    <w:p>
      <w:pPr>
        <w:rPr>
          <w:b/>
          <w:bCs/>
          <w:i/>
          <w:iCs/>
          <w:szCs w:val="20"/>
        </w:rPr>
      </w:pPr>
      <w:r>
        <w:rPr>
          <w:rFonts w:hint="eastAsia"/>
          <w:b/>
          <w:bCs/>
          <w:i/>
          <w:iCs/>
          <w:szCs w:val="20"/>
        </w:rPr>
        <w:t xml:space="preserve">Where, </w:t>
      </w:r>
    </w:p>
    <w:p>
      <w:pPr>
        <w:jc w:val="center"/>
        <w:rPr>
          <w:rFonts w:ascii="Cambria Math" w:hAnsi="Cambria Math"/>
          <w:b/>
          <w:szCs w:val="20"/>
        </w:rPr>
      </w:pPr>
      <m:oMathPara>
        <m:oMath>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SSB</m:t>
              </m:r>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PDCCH</m:t>
              </m:r>
              <m:r>
                <m:rPr>
                  <m:sty m:val="bi"/>
                </m:rPr>
                <w:rPr>
                  <w:rFonts w:hint="eastAsia" w:ascii="Cambria Math" w:hAnsi="Cambria Math"/>
                  <w:szCs w:val="20"/>
                </w:rPr>
                <m:t>+</m:t>
              </m:r>
              <m:r>
                <m:rPr>
                  <m:sty m:val="bi"/>
                </m:rPr>
                <w:rPr>
                  <w:rFonts w:ascii="Cambria Math" w:hAnsi="Cambria Math"/>
                  <w:szCs w:val="20"/>
                </w:rPr>
                <m:t>PDSCH</m:t>
              </m:r>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hint="eastAsia"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r>
                <m:rPr>
                  <m:sty m:val="bi"/>
                </m:rPr>
                <w:rPr>
                  <w:rFonts w:ascii="Cambria Math" w:hAnsi="Cambria Math"/>
                  <w:szCs w:val="20"/>
                </w:rPr>
                <m:t>sleep</m:t>
              </m:r>
              <m:ctrlPr>
                <w:rPr>
                  <w:rFonts w:hint="eastAsia" w:ascii="Cambria Math" w:hAnsi="Cambria Math"/>
                  <w:b/>
                  <w:i/>
                  <w:szCs w:val="20"/>
                </w:rPr>
              </m:ctrlPr>
            </m:sub>
            <m:sup>
              <m:r>
                <m:rPr>
                  <m:sty m:val="bi"/>
                </m:rPr>
                <w:rPr>
                  <w:rFonts w:ascii="Cambria Math" w:hAnsi="Cambria Math"/>
                  <w:szCs w:val="20"/>
                </w:rPr>
                <m:t>MR</m:t>
              </m:r>
              <m:ctrlPr>
                <w:rPr>
                  <w:rFonts w:hint="eastAsia" w:ascii="Cambria Math" w:hAnsi="Cambria Math"/>
                  <w:b/>
                  <w:i/>
                  <w:szCs w:val="20"/>
                </w:rPr>
              </m:ctrlPr>
            </m:sup>
          </m:sSubSup>
          <m:r>
            <m:rPr>
              <m:sty m:val="bi"/>
            </m:rPr>
            <w:rPr>
              <w:rFonts w:hint="eastAsia"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r>
                <m:rPr>
                  <m:sty m:val="bi"/>
                </m:rPr>
                <w:rPr>
                  <w:rFonts w:ascii="Cambria Math" w:hAnsi="Cambria Math"/>
                  <w:szCs w:val="20"/>
                </w:rPr>
                <m:t>off</m:t>
              </m:r>
              <m:ctrlPr>
                <w:rPr>
                  <w:rFonts w:hint="eastAsia" w:ascii="Cambria Math" w:hAnsi="Cambria Math"/>
                  <w:b/>
                  <w:i/>
                  <w:szCs w:val="20"/>
                </w:rPr>
              </m:ctrlPr>
            </m:sub>
            <m:sup>
              <m:r>
                <m:rPr>
                  <m:sty m:val="bi"/>
                </m:rPr>
                <w:rPr>
                  <w:rFonts w:ascii="Cambria Math" w:hAnsi="Cambria Math"/>
                  <w:szCs w:val="20"/>
                </w:rPr>
                <m:t>MR</m:t>
              </m:r>
              <m:ctrlPr>
                <w:rPr>
                  <w:rFonts w:hint="eastAsia" w:ascii="Cambria Math" w:hAnsi="Cambria Math"/>
                  <w:b/>
                  <w:i/>
                  <w:szCs w:val="20"/>
                </w:rPr>
              </m:ctrlPr>
            </m:sup>
          </m:sSubSup>
          <m:r>
            <m:rPr>
              <m:sty m:val="bi"/>
            </m:rPr>
            <w:rPr>
              <w:rFonts w:hint="eastAsia" w:ascii="Cambria Math" w:hAnsi="Cambria Math"/>
              <w:szCs w:val="20"/>
            </w:rPr>
            <m:t>+</m:t>
          </m:r>
          <m:sSubSup>
            <m:sSubSupPr>
              <m:ctrlPr>
                <w:rPr>
                  <w:rFonts w:hint="eastAsia" w:ascii="Cambria Math" w:hAnsi="Cambria Math"/>
                  <w:b/>
                  <w:i/>
                  <w:szCs w:val="20"/>
                </w:rPr>
              </m:ctrlPr>
            </m:sSubSupPr>
            <m:e>
              <m:r>
                <m:rPr>
                  <m:sty m:val="bi"/>
                </m:rPr>
                <w:rPr>
                  <w:rFonts w:ascii="Cambria Math" w:hAnsi="Cambria Math"/>
                  <w:szCs w:val="20"/>
                </w:rPr>
                <m:t>E</m:t>
              </m:r>
              <m:ctrlPr>
                <w:rPr>
                  <w:rFonts w:hint="eastAsia" w:ascii="Cambria Math" w:hAnsi="Cambria Math"/>
                  <w:b/>
                  <w:i/>
                  <w:szCs w:val="20"/>
                </w:rPr>
              </m:ctrlPr>
            </m:e>
            <m:sub>
              <m:r>
                <m:rPr>
                  <m:sty m:val="bi"/>
                </m:rPr>
                <w:rPr>
                  <w:rFonts w:ascii="Cambria Math" w:hAnsi="Cambria Math"/>
                  <w:szCs w:val="20"/>
                </w:rPr>
                <m:t>state transition</m:t>
              </m:r>
              <m:ctrlPr>
                <w:rPr>
                  <w:rFonts w:hint="eastAsia" w:ascii="Cambria Math" w:hAnsi="Cambria Math"/>
                  <w:b/>
                  <w:i/>
                  <w:szCs w:val="20"/>
                </w:rPr>
              </m:ctrlPr>
            </m:sub>
            <m:sup>
              <m:r>
                <m:rPr>
                  <m:sty m:val="bi"/>
                </m:rPr>
                <w:rPr>
                  <w:rFonts w:ascii="Cambria Math" w:hAnsi="Cambria Math"/>
                  <w:szCs w:val="20"/>
                </w:rPr>
                <m:t>MR</m:t>
              </m:r>
              <m:ctrlPr>
                <w:rPr>
                  <w:rFonts w:hint="eastAsia" w:ascii="Cambria Math" w:hAnsi="Cambria Math"/>
                  <w:b/>
                  <w:i/>
                  <w:szCs w:val="20"/>
                </w:rPr>
              </m:ctrlPr>
            </m:sup>
          </m:sSubSup>
        </m:oMath>
      </m:oMathPara>
    </w:p>
    <w:p>
      <w:pPr>
        <w:jc w:val="center"/>
        <w:rPr>
          <w:rFonts w:ascii="Cambria Math" w:hAnsi="Cambria Math"/>
          <w:b/>
          <w:szCs w:val="20"/>
        </w:rPr>
      </w:pPr>
      <m:oMath>
        <m:sSubSup>
          <m:sSubSupPr>
            <m:ctrlPr>
              <w:rPr>
                <w:rFonts w:ascii="Cambria Math" w:hAnsi="Cambria Math"/>
                <w:b/>
                <w:i/>
                <w:szCs w:val="20"/>
              </w:rPr>
            </m:ctrlPr>
          </m:sSubSupPr>
          <m:e>
            <m:r>
              <m:rPr>
                <m:sty m:val="bi"/>
              </m:rPr>
              <w:rPr>
                <w:rFonts w:ascii="Cambria Math" w:hAnsi="Cambria Math"/>
                <w:szCs w:val="20"/>
              </w:rPr>
              <m:t xml:space="preserve"> 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on</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off</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state transition1</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oMath>
      <w:r>
        <w:rPr>
          <w:rFonts w:hint="eastAsia" w:ascii="Cambria Math" w:hAnsi="Cambria Math"/>
          <w:szCs w:val="20"/>
        </w:rPr>
        <w:t xml:space="preserve"> </w:t>
      </w:r>
      <w:r>
        <w:rPr>
          <w:rFonts w:hint="eastAsia" w:ascii="Cambria Math" w:hAnsi="Cambria Math"/>
          <w:b/>
          <w:szCs w:val="20"/>
        </w:rPr>
        <w:t xml:space="preserve">or </w:t>
      </w:r>
      <m:oMath>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on</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state transition2</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oMath>
    </w:p>
    <w:p>
      <w:pPr>
        <w:jc w:val="center"/>
        <w:rPr>
          <w:rFonts w:ascii="Cambria Math" w:hAnsi="Cambria Math"/>
          <w:b/>
          <w:szCs w:val="20"/>
        </w:rPr>
      </w:pPr>
      <m:oMathPara>
        <m:oMath>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measurment</m:t>
              </m:r>
              <m:ctrlPr>
                <w:rPr>
                  <w:rFonts w:ascii="Cambria Math" w:hAnsi="Cambria Math"/>
                  <w:b/>
                  <w:i/>
                  <w:szCs w:val="20"/>
                </w:rPr>
              </m:ctrlPr>
            </m:sub>
            <m:sup>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measurement</m:t>
              </m:r>
              <m:ctrlPr>
                <w:rPr>
                  <w:rFonts w:ascii="Cambria Math" w:hAnsi="Cambria Math"/>
                  <w:b/>
                  <w:i/>
                  <w:szCs w:val="20"/>
                </w:rPr>
              </m:ctrlPr>
            </m:sub>
            <m:sup>
              <m:r>
                <m:rPr>
                  <m:sty m:val="bi"/>
                </m:rPr>
                <w:rPr>
                  <w:rFonts w:ascii="Cambria Math" w:hAnsi="Cambria Math"/>
                  <w:szCs w:val="20"/>
                </w:rPr>
                <m:t>MR</m:t>
              </m:r>
              <m:ctrlPr>
                <w:rPr>
                  <w:rFonts w:ascii="Cambria Math" w:hAnsi="Cambria Math"/>
                  <w:b/>
                  <w:i/>
                  <w:szCs w:val="20"/>
                </w:rPr>
              </m:ctrlPr>
            </m:sup>
          </m:sSubSup>
          <m:r>
            <m:rPr>
              <m:sty m:val="bi"/>
            </m:rPr>
            <w:rPr>
              <w:rFonts w:ascii="Cambria Math" w:hAnsi="Cambria Math"/>
              <w:szCs w:val="20"/>
            </w:rPr>
            <m:t>+</m:t>
          </m:r>
          <m:sSubSup>
            <m:sSubSupPr>
              <m:ctrlPr>
                <w:rPr>
                  <w:rFonts w:ascii="Cambria Math" w:hAnsi="Cambria Math"/>
                  <w:b/>
                  <w:i/>
                  <w:szCs w:val="20"/>
                </w:rPr>
              </m:ctrlPr>
            </m:sSubSupPr>
            <m:e>
              <m:r>
                <m:rPr>
                  <m:sty m:val="bi"/>
                </m:rPr>
                <w:rPr>
                  <w:rFonts w:ascii="Cambria Math" w:hAnsi="Cambria Math"/>
                  <w:szCs w:val="20"/>
                </w:rPr>
                <m:t>E</m:t>
              </m:r>
              <m:ctrlPr>
                <w:rPr>
                  <w:rFonts w:ascii="Cambria Math" w:hAnsi="Cambria Math"/>
                  <w:b/>
                  <w:i/>
                  <w:szCs w:val="20"/>
                </w:rPr>
              </m:ctrlPr>
            </m:e>
            <m:sub>
              <m:r>
                <m:rPr>
                  <m:sty m:val="bi"/>
                </m:rPr>
                <w:rPr>
                  <w:rFonts w:ascii="Cambria Math" w:hAnsi="Cambria Math"/>
                  <w:szCs w:val="20"/>
                </w:rPr>
                <m:t>measurement</m:t>
              </m:r>
              <m:ctrlPr>
                <w:rPr>
                  <w:rFonts w:ascii="Cambria Math" w:hAnsi="Cambria Math"/>
                  <w:b/>
                  <w:i/>
                  <w:szCs w:val="20"/>
                </w:rPr>
              </m:ctrlPr>
            </m:sub>
            <m:sup>
              <m:r>
                <m:rPr>
                  <m:sty m:val="bi"/>
                </m:rPr>
                <w:rPr>
                  <w:rFonts w:ascii="Cambria Math" w:hAnsi="Cambria Math"/>
                  <w:szCs w:val="20"/>
                </w:rPr>
                <m:t>WUR</m:t>
              </m:r>
              <m:ctrlPr>
                <w:rPr>
                  <w:rFonts w:ascii="Cambria Math" w:hAnsi="Cambria Math"/>
                  <w:b/>
                  <w:i/>
                  <w:szCs w:val="20"/>
                </w:rPr>
              </m:ctrlPr>
            </m:sup>
          </m:sSubSup>
        </m:oMath>
      </m:oMathPara>
    </w:p>
    <w:p>
      <w:pPr>
        <w:rPr>
          <w:b/>
          <w:bCs/>
          <w:i/>
          <w:iCs/>
          <w:szCs w:val="20"/>
        </w:rPr>
      </w:pPr>
      <w:r>
        <w:rPr>
          <w:rFonts w:hint="eastAsia"/>
          <w:b/>
          <w:bCs/>
          <w:i/>
          <w:iCs/>
          <w:szCs w:val="20"/>
        </w:rPr>
        <w:t xml:space="preserve">Proposal </w:t>
      </w:r>
      <w:r>
        <w:rPr>
          <w:b/>
          <w:bCs/>
          <w:i/>
          <w:iCs/>
          <w:szCs w:val="20"/>
        </w:rPr>
        <w:t>6</w:t>
      </w:r>
      <w:r>
        <w:rPr>
          <w:rFonts w:hint="eastAsia"/>
          <w:b/>
          <w:bCs/>
          <w:i/>
          <w:iCs/>
          <w:szCs w:val="20"/>
        </w:rPr>
        <w:t xml:space="preserve">: The power off state of main radio should be introduced for power consumption evaluation. </w:t>
      </w:r>
    </w:p>
    <w:p>
      <w:pPr>
        <w:numPr>
          <w:ilvl w:val="0"/>
          <w:numId w:val="11"/>
        </w:numPr>
        <w:rPr>
          <w:szCs w:val="20"/>
        </w:rPr>
      </w:pPr>
      <w:r>
        <w:rPr>
          <w:rFonts w:hint="eastAsia"/>
          <w:b/>
          <w:bCs/>
          <w:i/>
          <w:iCs/>
          <w:szCs w:val="20"/>
        </w:rPr>
        <w:t>The c</w:t>
      </w:r>
      <w:r>
        <w:rPr>
          <w:b/>
          <w:bCs/>
          <w:i/>
          <w:iCs/>
          <w:szCs w:val="20"/>
        </w:rPr>
        <w:t>haracteristics</w:t>
      </w:r>
      <w:r>
        <w:rPr>
          <w:rFonts w:hint="eastAsia"/>
          <w:b/>
          <w:bCs/>
          <w:i/>
          <w:iCs/>
          <w:szCs w:val="20"/>
        </w:rPr>
        <w:t xml:space="preserve"> of power off state, the value of relative power and UE power consumption during the state transition should be defined. </w:t>
      </w:r>
      <w:r>
        <w:rPr>
          <w:rFonts w:hint="eastAsia"/>
          <w:szCs w:val="20"/>
        </w:rPr>
        <w:t xml:space="preserve">  </w:t>
      </w:r>
    </w:p>
    <w:p>
      <w:pPr>
        <w:spacing w:before="120" w:beforeLines="50" w:after="240"/>
        <w:rPr>
          <w:b/>
          <w:bCs/>
          <w:i/>
          <w:iCs/>
          <w:szCs w:val="20"/>
        </w:rPr>
      </w:pPr>
      <w:r>
        <w:rPr>
          <w:rFonts w:hint="eastAsia"/>
          <w:b/>
          <w:bCs/>
          <w:i/>
          <w:iCs/>
          <w:szCs w:val="20"/>
        </w:rPr>
        <w:t xml:space="preserve">Proposal </w:t>
      </w:r>
      <w:r>
        <w:rPr>
          <w:b/>
          <w:bCs/>
          <w:i/>
          <w:iCs/>
          <w:szCs w:val="20"/>
        </w:rPr>
        <w:t>7</w:t>
      </w:r>
      <w:r>
        <w:rPr>
          <w:rFonts w:hint="eastAsia"/>
          <w:b/>
          <w:bCs/>
          <w:i/>
          <w:iCs/>
          <w:szCs w:val="20"/>
        </w:rPr>
        <w:t>: For LP-WUS, the relative power of WUR on state, WUR off state and the power consumption of WUR on-off transition state should be defined.</w:t>
      </w:r>
    </w:p>
    <w:p>
      <w:pPr>
        <w:rPr>
          <w:b/>
          <w:bCs/>
          <w:i/>
          <w:iCs/>
        </w:rPr>
      </w:pPr>
      <w:r>
        <w:rPr>
          <w:rFonts w:hint="eastAsia"/>
          <w:b/>
          <w:bCs/>
          <w:i/>
          <w:iCs/>
        </w:rPr>
        <w:t xml:space="preserve">Proposal </w:t>
      </w:r>
      <w:r>
        <w:rPr>
          <w:b/>
          <w:bCs/>
          <w:i/>
          <w:iCs/>
        </w:rPr>
        <w:t>8</w:t>
      </w:r>
      <w:r>
        <w:rPr>
          <w:rFonts w:hint="eastAsia"/>
          <w:b/>
          <w:bCs/>
          <w:i/>
          <w:iCs/>
        </w:rPr>
        <w:t xml:space="preserve">: For LP-WUS, RRM measurement assumptions should be determined. </w:t>
      </w:r>
    </w:p>
    <w:p>
      <w:pPr>
        <w:pStyle w:val="76"/>
        <w:spacing w:before="100" w:beforeAutospacing="1" w:after="240"/>
        <w:ind w:firstLine="0" w:firstLineChars="0"/>
        <w:rPr>
          <w:rFonts w:ascii="Times New Roman" w:hAnsi="Times New Roman"/>
          <w:b/>
          <w:bCs/>
          <w:i/>
          <w:iCs/>
          <w:sz w:val="20"/>
          <w:szCs w:val="20"/>
        </w:rPr>
      </w:pPr>
      <w:r>
        <w:rPr>
          <w:rFonts w:ascii="Times New Roman" w:hAnsi="Times New Roman"/>
          <w:b/>
          <w:bCs/>
          <w:i/>
          <w:iCs/>
          <w:sz w:val="20"/>
          <w:szCs w:val="20"/>
        </w:rPr>
        <w:t>Proposal 9</w:t>
      </w:r>
      <w:r>
        <w:rPr>
          <w:rFonts w:hint="eastAsia" w:ascii="Times New Roman" w:hAnsi="Times New Roman"/>
          <w:b/>
          <w:bCs/>
          <w:i/>
          <w:iCs/>
          <w:sz w:val="20"/>
          <w:szCs w:val="20"/>
        </w:rPr>
        <w:t xml:space="preserve">: </w:t>
      </w:r>
      <w:r>
        <w:rPr>
          <w:rFonts w:ascii="Times New Roman" w:hAnsi="Times New Roman"/>
          <w:b/>
          <w:bCs/>
          <w:i/>
          <w:iCs/>
          <w:sz w:val="20"/>
          <w:szCs w:val="20"/>
        </w:rPr>
        <w:t>System configurations including paging rate and DRX cycle configuration in TR38.840 can be reused. eDRX configuration(s) can be chosen from existing eDRX configurations.</w:t>
      </w:r>
    </w:p>
    <w:p>
      <w:pPr>
        <w:spacing w:after="240"/>
        <w:rPr>
          <w:b/>
          <w:bCs/>
          <w:i/>
          <w:iCs/>
          <w:szCs w:val="20"/>
        </w:rPr>
      </w:pPr>
      <w:r>
        <w:rPr>
          <w:b/>
          <w:bCs/>
          <w:i/>
          <w:iCs/>
          <w:szCs w:val="20"/>
        </w:rPr>
        <w:t>Proposal</w:t>
      </w:r>
      <w:r>
        <w:rPr>
          <w:rFonts w:hint="eastAsia"/>
          <w:b/>
          <w:bCs/>
          <w:i/>
          <w:iCs/>
          <w:szCs w:val="20"/>
        </w:rPr>
        <w:t xml:space="preserve"> </w:t>
      </w:r>
      <w:r>
        <w:rPr>
          <w:b/>
          <w:bCs/>
          <w:i/>
          <w:iCs/>
          <w:szCs w:val="20"/>
        </w:rPr>
        <w:t xml:space="preserve">10: </w:t>
      </w:r>
      <w:r>
        <w:rPr>
          <w:rFonts w:hint="eastAsia"/>
          <w:b/>
          <w:bCs/>
          <w:i/>
          <w:iCs/>
          <w:szCs w:val="20"/>
        </w:rPr>
        <w:t>For LP-WUS latency evaluation, paging arrival time, position relationship between LP-WUS and corresponding PO, and LP-WUS monitoring mechanism should be determined.</w:t>
      </w:r>
    </w:p>
    <w:p>
      <w:pPr>
        <w:rPr>
          <w:b/>
          <w:bCs/>
          <w:i/>
          <w:iCs/>
        </w:rPr>
      </w:pPr>
      <w:r>
        <w:rPr>
          <w:rFonts w:hint="eastAsia"/>
          <w:b/>
          <w:bCs/>
          <w:i/>
          <w:iCs/>
        </w:rPr>
        <w:t>Proposal 1</w:t>
      </w:r>
      <w:r>
        <w:rPr>
          <w:b/>
          <w:bCs/>
          <w:i/>
          <w:iCs/>
        </w:rPr>
        <w:t>1</w:t>
      </w:r>
      <w:r>
        <w:rPr>
          <w:rFonts w:hint="eastAsia"/>
          <w:b/>
          <w:bCs/>
          <w:i/>
          <w:iCs/>
        </w:rPr>
        <w:t>: Regarding network coverage evaluation for LP-WUS, the parameters/simulation assumptions of the deployment scenarios defined in TR38.875 can be use</w:t>
      </w:r>
      <w:r>
        <w:rPr>
          <w:b/>
          <w:bCs/>
          <w:i/>
          <w:iCs/>
        </w:rPr>
        <w:t>d</w:t>
      </w:r>
      <w:r>
        <w:rPr>
          <w:rFonts w:hint="eastAsia"/>
          <w:b/>
          <w:bCs/>
          <w:i/>
          <w:iCs/>
        </w:rPr>
        <w:t xml:space="preserve"> as references.</w:t>
      </w:r>
    </w:p>
    <w:p>
      <w:pPr>
        <w:rPr>
          <w:b/>
          <w:bCs/>
          <w:i/>
          <w:iCs/>
        </w:rPr>
      </w:pPr>
      <w:r>
        <w:rPr>
          <w:rFonts w:hint="eastAsia"/>
          <w:b/>
          <w:bCs/>
          <w:i/>
          <w:iCs/>
        </w:rPr>
        <w:t>Proposal 1</w:t>
      </w:r>
      <w:r>
        <w:rPr>
          <w:b/>
          <w:bCs/>
          <w:i/>
          <w:iCs/>
        </w:rPr>
        <w:t>2</w:t>
      </w:r>
      <w:r>
        <w:rPr>
          <w:rFonts w:hint="eastAsia"/>
          <w:b/>
          <w:bCs/>
          <w:i/>
          <w:iCs/>
        </w:rPr>
        <w:t>: Regarding network coverage evaluation for LP-WUS, its coverage performance should be equal or better than that of the limited channel evaluated in NR Rel-15/16/17.</w:t>
      </w:r>
    </w:p>
    <w:p>
      <w:pPr>
        <w:numPr>
          <w:ilvl w:val="0"/>
          <w:numId w:val="13"/>
        </w:numPr>
        <w:rPr>
          <w:b/>
          <w:bCs/>
          <w:i/>
          <w:iCs/>
        </w:rPr>
      </w:pPr>
      <w:r>
        <w:rPr>
          <w:rFonts w:hint="eastAsia"/>
          <w:b/>
          <w:bCs/>
          <w:i/>
          <w:iCs/>
        </w:rPr>
        <w:t>Whether its coverage performance is consistent with that of paging message needs to be further considered.</w:t>
      </w:r>
    </w:p>
    <w:p>
      <w:pPr>
        <w:rPr>
          <w:b/>
          <w:bCs/>
          <w:i/>
          <w:iCs/>
        </w:rPr>
      </w:pPr>
      <w:r>
        <w:rPr>
          <w:b/>
          <w:bCs/>
          <w:i/>
          <w:iCs/>
        </w:rPr>
        <w:t>Proposal 13: The following aspects need to be considered in LP-WUS design.</w:t>
      </w:r>
    </w:p>
    <w:p>
      <w:pPr>
        <w:numPr>
          <w:ilvl w:val="0"/>
          <w:numId w:val="13"/>
        </w:numPr>
        <w:rPr>
          <w:b/>
          <w:bCs/>
          <w:i/>
          <w:iCs/>
        </w:rPr>
      </w:pPr>
      <w:r>
        <w:rPr>
          <w:rFonts w:hint="eastAsia"/>
          <w:b/>
          <w:bCs/>
          <w:i/>
          <w:iCs/>
        </w:rPr>
        <w:t>Network resource overhead, network power consumption can be evaluated</w:t>
      </w:r>
      <w:r>
        <w:rPr>
          <w:b/>
          <w:bCs/>
          <w:i/>
          <w:iCs/>
        </w:rPr>
        <w:t xml:space="preserve"> and</w:t>
      </w:r>
      <w:r>
        <w:rPr>
          <w:rFonts w:hint="eastAsia"/>
          <w:b/>
          <w:bCs/>
          <w:i/>
          <w:iCs/>
        </w:rPr>
        <w:t xml:space="preserve"> compared with NR </w:t>
      </w:r>
      <w:r>
        <w:rPr>
          <w:b/>
          <w:bCs/>
          <w:i/>
          <w:iCs/>
        </w:rPr>
        <w:t>signal</w:t>
      </w:r>
      <w:r>
        <w:rPr>
          <w:rFonts w:hint="eastAsia"/>
          <w:b/>
          <w:bCs/>
          <w:i/>
          <w:iCs/>
        </w:rPr>
        <w:t>, e.g., SSB.</w:t>
      </w:r>
    </w:p>
    <w:p>
      <w:pPr>
        <w:numPr>
          <w:ilvl w:val="0"/>
          <w:numId w:val="13"/>
        </w:numPr>
        <w:rPr>
          <w:b/>
          <w:bCs/>
          <w:i/>
          <w:iCs/>
        </w:rPr>
      </w:pPr>
      <w:r>
        <w:rPr>
          <w:rFonts w:hint="eastAsia"/>
          <w:b/>
          <w:bCs/>
          <w:i/>
          <w:iCs/>
        </w:rPr>
        <w:t>Coexistence with non-low-power-WUR UEs can be further analyzed based on the outcome of LP-WUS design</w:t>
      </w:r>
    </w:p>
    <w:p>
      <w:pPr>
        <w:numPr>
          <w:ilvl w:val="0"/>
          <w:numId w:val="13"/>
        </w:numPr>
        <w:rPr>
          <w:b/>
          <w:bCs/>
          <w:i/>
          <w:iCs/>
        </w:rPr>
      </w:pPr>
      <w:r>
        <w:rPr>
          <w:rFonts w:hint="eastAsia"/>
          <w:b/>
          <w:bCs/>
          <w:i/>
          <w:iCs/>
        </w:rPr>
        <w:t>The system level simulation for NW capacity can be deprioritized.</w:t>
      </w:r>
    </w:p>
    <w:p>
      <w:pPr>
        <w:rPr>
          <w:b/>
          <w:bCs/>
          <w:i/>
          <w:iCs/>
        </w:rPr>
      </w:pPr>
      <w:r>
        <w:rPr>
          <w:rFonts w:hint="eastAsia"/>
          <w:b/>
          <w:bCs/>
          <w:i/>
          <w:iCs/>
        </w:rPr>
        <w:t>Proposal 1</w:t>
      </w:r>
      <w:r>
        <w:rPr>
          <w:b/>
          <w:bCs/>
          <w:i/>
          <w:iCs/>
        </w:rPr>
        <w:t>4</w:t>
      </w:r>
      <w:r>
        <w:rPr>
          <w:rFonts w:hint="eastAsia"/>
          <w:b/>
          <w:bCs/>
          <w:i/>
          <w:iCs/>
        </w:rPr>
        <w:t xml:space="preserve">: Regarding LLS assumptions for LP-WUS receiver, </w:t>
      </w:r>
      <w:r>
        <w:rPr>
          <w:b/>
          <w:bCs/>
          <w:i/>
          <w:iCs/>
        </w:rPr>
        <w:t xml:space="preserve">the aspects such as </w:t>
      </w:r>
      <w:r>
        <w:rPr>
          <w:rFonts w:hint="eastAsia"/>
          <w:b/>
          <w:bCs/>
          <w:i/>
          <w:iCs/>
        </w:rPr>
        <w:t>system configuration, LP-WUS transmission configuration, LP-WUS receiver configuration and performance metrics should be considered and studied.</w:t>
      </w:r>
    </w:p>
    <w:p>
      <w:pPr>
        <w:numPr>
          <w:ilvl w:val="0"/>
          <w:numId w:val="17"/>
        </w:numPr>
        <w:rPr>
          <w:b/>
          <w:bCs/>
          <w:i/>
          <w:iCs/>
        </w:rPr>
      </w:pPr>
      <w:r>
        <w:rPr>
          <w:rFonts w:hint="eastAsia"/>
          <w:b/>
          <w:bCs/>
          <w:i/>
          <w:iCs/>
        </w:rPr>
        <w:t>For s</w:t>
      </w:r>
      <w:r>
        <w:rPr>
          <w:b/>
          <w:bCs/>
          <w:i/>
          <w:iCs/>
        </w:rPr>
        <w:t>ystem configuration</w:t>
      </w:r>
      <w:r>
        <w:rPr>
          <w:rFonts w:hint="eastAsia"/>
          <w:b/>
          <w:bCs/>
          <w:i/>
          <w:iCs/>
        </w:rPr>
        <w:t xml:space="preserve">s, </w:t>
      </w:r>
      <w:r>
        <w:rPr>
          <w:b/>
          <w:bCs/>
          <w:i/>
          <w:iCs/>
        </w:rPr>
        <w:t>LLS /link budget parameter</w:t>
      </w:r>
      <w:r>
        <w:rPr>
          <w:rFonts w:hint="eastAsia"/>
          <w:b/>
          <w:bCs/>
          <w:i/>
          <w:iCs/>
        </w:rPr>
        <w:t xml:space="preserve"> in TR38.875 can be used as reference.</w:t>
      </w:r>
    </w:p>
    <w:p>
      <w:pPr>
        <w:numPr>
          <w:ilvl w:val="0"/>
          <w:numId w:val="17"/>
        </w:numPr>
      </w:pPr>
      <w:r>
        <w:rPr>
          <w:rFonts w:hint="eastAsia"/>
          <w:b/>
          <w:bCs/>
          <w:i/>
          <w:iCs/>
        </w:rPr>
        <w:t>For LP-WUS transmission configuration, LP-WUS receiver configuration and performance metrics, they depend on LP-WUS designs and corresponding LP-WUS receiver architectures.</w:t>
      </w:r>
    </w:p>
    <w:p>
      <w:pPr>
        <w:rPr>
          <w:szCs w:val="20"/>
        </w:rPr>
      </w:pPr>
    </w:p>
    <w:bookmarkEnd w:id="36"/>
    <w:p>
      <w:pPr>
        <w:pStyle w:val="2"/>
        <w:numPr>
          <w:ilvl w:val="0"/>
          <w:numId w:val="0"/>
        </w:numPr>
        <w:spacing w:before="120" w:beforeLines="50" w:after="120" w:afterLines="50" w:line="360" w:lineRule="auto"/>
        <w:rPr>
          <w:sz w:val="32"/>
          <w:szCs w:val="32"/>
          <w:lang w:val="en-US"/>
        </w:rPr>
      </w:pPr>
      <w:r>
        <w:rPr>
          <w:sz w:val="32"/>
          <w:szCs w:val="32"/>
          <w:lang w:val="en-US"/>
        </w:rPr>
        <w:t>References</w:t>
      </w:r>
    </w:p>
    <w:p>
      <w:pPr>
        <w:pStyle w:val="136"/>
        <w:rPr>
          <w:lang w:eastAsia="zh-CN"/>
        </w:rPr>
      </w:pPr>
      <w:r>
        <w:rPr>
          <w:lang w:eastAsia="zh-CN"/>
        </w:rPr>
        <w:t>R</w:t>
      </w:r>
      <w:r>
        <w:rPr>
          <w:rFonts w:hint="eastAsia"/>
          <w:lang w:eastAsia="zh-CN"/>
        </w:rPr>
        <w:t>P</w:t>
      </w:r>
      <w:r>
        <w:rPr>
          <w:lang w:eastAsia="zh-CN"/>
        </w:rPr>
        <w:t>-2</w:t>
      </w:r>
      <w:r>
        <w:rPr>
          <w:rFonts w:hint="eastAsia"/>
          <w:lang w:eastAsia="zh-CN"/>
        </w:rPr>
        <w:t>13645</w:t>
      </w:r>
      <w:r>
        <w:rPr>
          <w:lang w:eastAsia="zh-CN"/>
        </w:rPr>
        <w:t>, “New SID: Study on low-power Wake-up Signal and Receiver for NR”</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4</w:t>
      </w:r>
      <w:r>
        <w:rPr>
          <w:lang w:eastAsia="zh-CN"/>
        </w:rPr>
        <w:t>-e</w:t>
      </w:r>
    </w:p>
    <w:p>
      <w:pPr>
        <w:pStyle w:val="136"/>
        <w:rPr>
          <w:lang w:eastAsia="zh-CN"/>
        </w:rPr>
      </w:pPr>
      <w:r>
        <w:rPr>
          <w:lang w:eastAsia="zh-CN"/>
        </w:rPr>
        <w:t>R</w:t>
      </w:r>
      <w:r>
        <w:rPr>
          <w:rFonts w:hint="eastAsia"/>
          <w:lang w:eastAsia="zh-CN"/>
        </w:rPr>
        <w:t>P</w:t>
      </w:r>
      <w:r>
        <w:rPr>
          <w:lang w:eastAsia="zh-CN"/>
        </w:rPr>
        <w:t>-2</w:t>
      </w:r>
      <w:r>
        <w:rPr>
          <w:rFonts w:hint="eastAsia"/>
          <w:lang w:eastAsia="zh-CN"/>
        </w:rPr>
        <w:t>22</w:t>
      </w:r>
      <w:r>
        <w:rPr>
          <w:lang w:eastAsia="zh-CN"/>
        </w:rPr>
        <w:t>6</w:t>
      </w:r>
      <w:r>
        <w:rPr>
          <w:rFonts w:hint="eastAsia"/>
          <w:lang w:eastAsia="zh-CN"/>
        </w:rPr>
        <w:t>44</w:t>
      </w:r>
      <w:r>
        <w:rPr>
          <w:lang w:eastAsia="zh-CN"/>
        </w:rPr>
        <w:t>, “</w:t>
      </w:r>
      <w:r>
        <w:rPr>
          <w:rFonts w:hint="eastAsia"/>
          <w:lang w:eastAsia="zh-CN"/>
        </w:rPr>
        <w:t>Revised SID</w:t>
      </w:r>
      <w:r>
        <w:rPr>
          <w:lang w:eastAsia="ja-JP"/>
        </w:rPr>
        <w:t>: Study on low-power Wake-up Signal and Receiver for NR</w:t>
      </w:r>
      <w:r>
        <w:rPr>
          <w:lang w:eastAsia="zh-CN"/>
        </w:rPr>
        <w:t>”</w:t>
      </w:r>
      <w:r>
        <w:rPr>
          <w:rFonts w:hint="eastAsia"/>
          <w:lang w:eastAsia="zh-CN"/>
        </w:rPr>
        <w:t>,</w:t>
      </w:r>
      <w:r>
        <w:rPr>
          <w:lang w:eastAsia="zh-CN"/>
        </w:rPr>
        <w:t xml:space="preserve"> </w:t>
      </w:r>
      <w:r>
        <w:rPr>
          <w:rFonts w:hint="eastAsia"/>
          <w:lang w:eastAsia="zh-CN"/>
        </w:rPr>
        <w:t>vivo</w:t>
      </w:r>
      <w:r>
        <w:rPr>
          <w:lang w:eastAsia="zh-CN"/>
        </w:rPr>
        <w:t>, RAN#9</w:t>
      </w:r>
      <w:r>
        <w:rPr>
          <w:rFonts w:hint="eastAsia"/>
          <w:lang w:eastAsia="zh-CN"/>
        </w:rPr>
        <w:t>7</w:t>
      </w:r>
      <w:r>
        <w:rPr>
          <w:lang w:eastAsia="zh-CN"/>
        </w:rPr>
        <w:t>-e.</w:t>
      </w:r>
    </w:p>
    <w:p>
      <w:pPr>
        <w:pStyle w:val="136"/>
        <w:numPr>
          <w:ilvl w:val="0"/>
          <w:numId w:val="0"/>
        </w:numPr>
        <w:spacing w:before="120" w:beforeLines="50" w:after="120" w:afterLines="50" w:line="276" w:lineRule="auto"/>
      </w:pPr>
    </w:p>
    <w:sectPr>
      <w:type w:val="continuous"/>
      <w:pgSz w:w="11850" w:h="16783"/>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012FF3"/>
    <w:multiLevelType w:val="singleLevel"/>
    <w:tmpl w:val="8C012FF3"/>
    <w:lvl w:ilvl="0" w:tentative="0">
      <w:start w:val="1"/>
      <w:numFmt w:val="bullet"/>
      <w:lvlText w:val=""/>
      <w:lvlJc w:val="left"/>
      <w:pPr>
        <w:ind w:left="420" w:hanging="420"/>
      </w:pPr>
      <w:rPr>
        <w:rFonts w:hint="default" w:ascii="Symbol" w:hAnsi="Symbol" w:cs="Symbol"/>
      </w:rPr>
    </w:lvl>
  </w:abstractNum>
  <w:abstractNum w:abstractNumId="1">
    <w:nsid w:val="93CE76A6"/>
    <w:multiLevelType w:val="singleLevel"/>
    <w:tmpl w:val="93CE76A6"/>
    <w:lvl w:ilvl="0" w:tentative="0">
      <w:start w:val="1"/>
      <w:numFmt w:val="bullet"/>
      <w:lvlText w:val=""/>
      <w:lvlJc w:val="left"/>
      <w:pPr>
        <w:ind w:left="420" w:hanging="420"/>
      </w:pPr>
      <w:rPr>
        <w:rFonts w:hint="default" w:ascii="Wingdings" w:hAnsi="Wingdings"/>
      </w:rPr>
    </w:lvl>
  </w:abstractNum>
  <w:abstractNum w:abstractNumId="2">
    <w:nsid w:val="A2EEA28F"/>
    <w:multiLevelType w:val="singleLevel"/>
    <w:tmpl w:val="A2EEA28F"/>
    <w:lvl w:ilvl="0" w:tentative="0">
      <w:start w:val="1"/>
      <w:numFmt w:val="decimal"/>
      <w:suff w:val="space"/>
      <w:lvlText w:val="(%1)"/>
      <w:lvlJc w:val="left"/>
    </w:lvl>
  </w:abstractNum>
  <w:abstractNum w:abstractNumId="3">
    <w:nsid w:val="CEFA700B"/>
    <w:multiLevelType w:val="singleLevel"/>
    <w:tmpl w:val="CEFA700B"/>
    <w:lvl w:ilvl="0" w:tentative="0">
      <w:start w:val="1"/>
      <w:numFmt w:val="decimal"/>
      <w:suff w:val="space"/>
      <w:lvlText w:val="(%1)"/>
      <w:lvlJc w:val="left"/>
    </w:lvl>
  </w:abstractNum>
  <w:abstractNum w:abstractNumId="4">
    <w:nsid w:val="DF9C4796"/>
    <w:multiLevelType w:val="singleLevel"/>
    <w:tmpl w:val="DF9C4796"/>
    <w:lvl w:ilvl="0" w:tentative="0">
      <w:start w:val="1"/>
      <w:numFmt w:val="bullet"/>
      <w:lvlText w:val=""/>
      <w:lvlJc w:val="left"/>
      <w:pPr>
        <w:tabs>
          <w:tab w:val="left" w:pos="420"/>
        </w:tabs>
        <w:ind w:left="840" w:hanging="420"/>
      </w:pPr>
      <w:rPr>
        <w:rFonts w:hint="default" w:ascii="Symbol" w:hAnsi="Symbol" w:cs="Symbol"/>
      </w:rPr>
    </w:lvl>
  </w:abstractNum>
  <w:abstractNum w:abstractNumId="5">
    <w:nsid w:val="F349AEF5"/>
    <w:multiLevelType w:val="singleLevel"/>
    <w:tmpl w:val="F349AEF5"/>
    <w:lvl w:ilvl="0" w:tentative="0">
      <w:start w:val="1"/>
      <w:numFmt w:val="bullet"/>
      <w:lvlText w:val=""/>
      <w:lvlJc w:val="left"/>
      <w:pPr>
        <w:ind w:left="420" w:hanging="420"/>
      </w:pPr>
      <w:rPr>
        <w:rFonts w:hint="default" w:ascii="Symbol" w:hAnsi="Symbol" w:cs="Symbol"/>
      </w:rPr>
    </w:lvl>
  </w:abstractNum>
  <w:abstractNum w:abstractNumId="6">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6636DEC"/>
    <w:multiLevelType w:val="singleLevel"/>
    <w:tmpl w:val="26636DEC"/>
    <w:lvl w:ilvl="0" w:tentative="0">
      <w:start w:val="1"/>
      <w:numFmt w:val="bullet"/>
      <w:lvlText w:val=""/>
      <w:lvlJc w:val="left"/>
      <w:pPr>
        <w:ind w:left="420" w:hanging="420"/>
      </w:pPr>
      <w:rPr>
        <w:rFonts w:hint="default" w:ascii="Symbol" w:hAnsi="Symbol" w:cs="Symbol"/>
      </w:rPr>
    </w:lvl>
  </w:abstractNum>
  <w:abstractNum w:abstractNumId="8">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30501E44"/>
    <w:multiLevelType w:val="multilevel"/>
    <w:tmpl w:val="30501E44"/>
    <w:lvl w:ilvl="0" w:tentative="0">
      <w:start w:val="1"/>
      <w:numFmt w:val="decimal"/>
      <w:pStyle w:val="12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780571E"/>
    <w:multiLevelType w:val="multilevel"/>
    <w:tmpl w:val="3780571E"/>
    <w:lvl w:ilvl="0" w:tentative="0">
      <w:start w:val="1"/>
      <w:numFmt w:val="decimal"/>
      <w:pStyle w:val="2"/>
      <w:lvlText w:val="%1."/>
      <w:lvlJc w:val="left"/>
      <w:pPr>
        <w:ind w:left="432" w:hanging="432"/>
      </w:pPr>
      <w:rPr>
        <w:rFonts w:hint="default" w:ascii="Arial" w:hAnsi="Arial" w:cs="Arial"/>
        <w:sz w:val="32"/>
        <w:szCs w:val="32"/>
      </w:rPr>
    </w:lvl>
    <w:lvl w:ilvl="1" w:tentative="0">
      <w:start w:val="1"/>
      <w:numFmt w:val="decimal"/>
      <w:lvlText w:val="%1.%2."/>
      <w:lvlJc w:val="left"/>
      <w:pPr>
        <w:ind w:left="363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3634" w:hanging="363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3A877D64"/>
    <w:multiLevelType w:val="singleLevel"/>
    <w:tmpl w:val="3A877D64"/>
    <w:lvl w:ilvl="0" w:tentative="0">
      <w:start w:val="1"/>
      <w:numFmt w:val="decimal"/>
      <w:pStyle w:val="136"/>
      <w:lvlText w:val="[%1]"/>
      <w:lvlJc w:val="left"/>
      <w:pPr>
        <w:tabs>
          <w:tab w:val="left" w:pos="360"/>
        </w:tabs>
        <w:ind w:left="360" w:hanging="360"/>
      </w:pPr>
    </w:lvl>
  </w:abstractNum>
  <w:abstractNum w:abstractNumId="12">
    <w:nsid w:val="4007FB76"/>
    <w:multiLevelType w:val="multilevel"/>
    <w:tmpl w:val="4007FB76"/>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6FB9C76"/>
    <w:multiLevelType w:val="singleLevel"/>
    <w:tmpl w:val="46FB9C76"/>
    <w:lvl w:ilvl="0" w:tentative="0">
      <w:start w:val="1"/>
      <w:numFmt w:val="bullet"/>
      <w:lvlText w:val=""/>
      <w:lvlJc w:val="left"/>
      <w:pPr>
        <w:ind w:left="420" w:hanging="420"/>
      </w:pPr>
      <w:rPr>
        <w:rFonts w:hint="default" w:ascii="Symbol" w:hAnsi="Symbol" w:cs="Symbol"/>
      </w:rPr>
    </w:lvl>
  </w:abstractNum>
  <w:abstractNum w:abstractNumId="14">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EB03BC1"/>
    <w:multiLevelType w:val="singleLevel"/>
    <w:tmpl w:val="6EB03BC1"/>
    <w:lvl w:ilvl="0" w:tentative="0">
      <w:start w:val="1"/>
      <w:numFmt w:val="decimal"/>
      <w:suff w:val="space"/>
      <w:lvlText w:val="(%1)"/>
      <w:lvlJc w:val="left"/>
    </w:lvl>
  </w:abstractNum>
  <w:abstractNum w:abstractNumId="16">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8"/>
  </w:num>
  <w:num w:numId="3">
    <w:abstractNumId w:val="16"/>
  </w:num>
  <w:num w:numId="4">
    <w:abstractNumId w:val="14"/>
  </w:num>
  <w:num w:numId="5">
    <w:abstractNumId w:val="9"/>
  </w:num>
  <w:num w:numId="6">
    <w:abstractNumId w:val="11"/>
  </w:num>
  <w:num w:numId="7">
    <w:abstractNumId w:val="6"/>
  </w:num>
  <w:num w:numId="8">
    <w:abstractNumId w:val="12"/>
  </w:num>
  <w:num w:numId="9">
    <w:abstractNumId w:val="4"/>
  </w:num>
  <w:num w:numId="10">
    <w:abstractNumId w:val="5"/>
  </w:num>
  <w:num w:numId="11">
    <w:abstractNumId w:val="13"/>
  </w:num>
  <w:num w:numId="12">
    <w:abstractNumId w:val="1"/>
  </w:num>
  <w:num w:numId="13">
    <w:abstractNumId w:val="7"/>
  </w:num>
  <w:num w:numId="14">
    <w:abstractNumId w:val="15"/>
  </w:num>
  <w:num w:numId="15">
    <w:abstractNumId w:val="2"/>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C4A"/>
    <w:rsid w:val="00004CEF"/>
    <w:rsid w:val="00004D41"/>
    <w:rsid w:val="00004D8D"/>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6BAD"/>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0A"/>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5E2"/>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AE3"/>
    <w:rsid w:val="00070B79"/>
    <w:rsid w:val="00070E14"/>
    <w:rsid w:val="00070F20"/>
    <w:rsid w:val="00071A83"/>
    <w:rsid w:val="000724BB"/>
    <w:rsid w:val="00072519"/>
    <w:rsid w:val="000728BF"/>
    <w:rsid w:val="00073115"/>
    <w:rsid w:val="00073393"/>
    <w:rsid w:val="000734DC"/>
    <w:rsid w:val="0007352D"/>
    <w:rsid w:val="00073748"/>
    <w:rsid w:val="000738A3"/>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4DE"/>
    <w:rsid w:val="000A1619"/>
    <w:rsid w:val="000A17EC"/>
    <w:rsid w:val="000A1D48"/>
    <w:rsid w:val="000A1DEF"/>
    <w:rsid w:val="000A1E29"/>
    <w:rsid w:val="000A2499"/>
    <w:rsid w:val="000A24F6"/>
    <w:rsid w:val="000A2789"/>
    <w:rsid w:val="000A27FC"/>
    <w:rsid w:val="000A29F0"/>
    <w:rsid w:val="000A2B7F"/>
    <w:rsid w:val="000A2C04"/>
    <w:rsid w:val="000A317B"/>
    <w:rsid w:val="000A3204"/>
    <w:rsid w:val="000A4165"/>
    <w:rsid w:val="000A42B6"/>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4D2"/>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07D"/>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597"/>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8F8"/>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A8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B0F"/>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68"/>
    <w:rsid w:val="001E5AE8"/>
    <w:rsid w:val="001E5E73"/>
    <w:rsid w:val="001E66AE"/>
    <w:rsid w:val="001E6779"/>
    <w:rsid w:val="001E68F3"/>
    <w:rsid w:val="001E6BD1"/>
    <w:rsid w:val="001E6C26"/>
    <w:rsid w:val="001E6E00"/>
    <w:rsid w:val="001E6E7C"/>
    <w:rsid w:val="001E71CB"/>
    <w:rsid w:val="001E7234"/>
    <w:rsid w:val="001E7272"/>
    <w:rsid w:val="001E7555"/>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5FC"/>
    <w:rsid w:val="00212906"/>
    <w:rsid w:val="002129CC"/>
    <w:rsid w:val="002129F1"/>
    <w:rsid w:val="00212C2B"/>
    <w:rsid w:val="00212DE4"/>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2BA"/>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FAC"/>
    <w:rsid w:val="002A300C"/>
    <w:rsid w:val="002A3042"/>
    <w:rsid w:val="002A30FC"/>
    <w:rsid w:val="002A310B"/>
    <w:rsid w:val="002A3207"/>
    <w:rsid w:val="002A33AB"/>
    <w:rsid w:val="002A3460"/>
    <w:rsid w:val="002A34A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6D4"/>
    <w:rsid w:val="002B2F61"/>
    <w:rsid w:val="002B2FA6"/>
    <w:rsid w:val="002B3231"/>
    <w:rsid w:val="002B34A8"/>
    <w:rsid w:val="002B4A8C"/>
    <w:rsid w:val="002B548B"/>
    <w:rsid w:val="002B5AF2"/>
    <w:rsid w:val="002B5DCF"/>
    <w:rsid w:val="002B602D"/>
    <w:rsid w:val="002B6230"/>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23C"/>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AD3"/>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6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E45"/>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FEA"/>
    <w:rsid w:val="0032018D"/>
    <w:rsid w:val="00320294"/>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5A"/>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AA1"/>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5E8"/>
    <w:rsid w:val="003906EF"/>
    <w:rsid w:val="003908BC"/>
    <w:rsid w:val="00390A8F"/>
    <w:rsid w:val="00390B6E"/>
    <w:rsid w:val="00390D2F"/>
    <w:rsid w:val="00390D93"/>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3CB"/>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27F"/>
    <w:rsid w:val="003C56BF"/>
    <w:rsid w:val="003C5714"/>
    <w:rsid w:val="003C597E"/>
    <w:rsid w:val="003C5ABC"/>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17F"/>
    <w:rsid w:val="003F0279"/>
    <w:rsid w:val="003F0332"/>
    <w:rsid w:val="003F050B"/>
    <w:rsid w:val="003F06D3"/>
    <w:rsid w:val="003F06DD"/>
    <w:rsid w:val="003F0941"/>
    <w:rsid w:val="003F09B4"/>
    <w:rsid w:val="003F09EB"/>
    <w:rsid w:val="003F0A9A"/>
    <w:rsid w:val="003F150A"/>
    <w:rsid w:val="003F17E2"/>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A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829"/>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7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31B"/>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5DA"/>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6461"/>
    <w:rsid w:val="004A64D8"/>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989"/>
    <w:rsid w:val="004B5A09"/>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B0E"/>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E8A"/>
    <w:rsid w:val="004D3F29"/>
    <w:rsid w:val="004D40E4"/>
    <w:rsid w:val="004D4459"/>
    <w:rsid w:val="004D4931"/>
    <w:rsid w:val="004D4BA5"/>
    <w:rsid w:val="004D52A2"/>
    <w:rsid w:val="004D5395"/>
    <w:rsid w:val="004D5552"/>
    <w:rsid w:val="004D5803"/>
    <w:rsid w:val="004D58F7"/>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6DB9"/>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98A"/>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213"/>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EF2"/>
    <w:rsid w:val="00595F11"/>
    <w:rsid w:val="0059631F"/>
    <w:rsid w:val="005966F2"/>
    <w:rsid w:val="005967D1"/>
    <w:rsid w:val="00596A38"/>
    <w:rsid w:val="00596DA9"/>
    <w:rsid w:val="00596E03"/>
    <w:rsid w:val="0059705E"/>
    <w:rsid w:val="00597203"/>
    <w:rsid w:val="005972B6"/>
    <w:rsid w:val="00597B5B"/>
    <w:rsid w:val="005A012A"/>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4890"/>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7F9"/>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94"/>
    <w:rsid w:val="005E0DB8"/>
    <w:rsid w:val="005E1521"/>
    <w:rsid w:val="005E1769"/>
    <w:rsid w:val="005E1888"/>
    <w:rsid w:val="005E1A0C"/>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2A"/>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2C88"/>
    <w:rsid w:val="00693304"/>
    <w:rsid w:val="006937F9"/>
    <w:rsid w:val="006938A0"/>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6F63"/>
    <w:rsid w:val="006A7449"/>
    <w:rsid w:val="006A75E3"/>
    <w:rsid w:val="006A761B"/>
    <w:rsid w:val="006A79F6"/>
    <w:rsid w:val="006A7D20"/>
    <w:rsid w:val="006A7DC4"/>
    <w:rsid w:val="006B01E0"/>
    <w:rsid w:val="006B036C"/>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1F3"/>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6BB"/>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29"/>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4B9"/>
    <w:rsid w:val="008655D3"/>
    <w:rsid w:val="0086595D"/>
    <w:rsid w:val="008667AB"/>
    <w:rsid w:val="008667DD"/>
    <w:rsid w:val="00866A14"/>
    <w:rsid w:val="00866AEC"/>
    <w:rsid w:val="00866EA5"/>
    <w:rsid w:val="008679E3"/>
    <w:rsid w:val="00867C24"/>
    <w:rsid w:val="00867C69"/>
    <w:rsid w:val="00870214"/>
    <w:rsid w:val="00870358"/>
    <w:rsid w:val="00870A9D"/>
    <w:rsid w:val="00870AE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0CC"/>
    <w:rsid w:val="008E512B"/>
    <w:rsid w:val="008E5796"/>
    <w:rsid w:val="008E59AC"/>
    <w:rsid w:val="008E5B3E"/>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6D89"/>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B86"/>
    <w:rsid w:val="00906F60"/>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3E8E"/>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1"/>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8C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4AF"/>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ED2"/>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3DD"/>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5C1C"/>
    <w:rsid w:val="009D6052"/>
    <w:rsid w:val="009D60F9"/>
    <w:rsid w:val="009D62C4"/>
    <w:rsid w:val="009D6B72"/>
    <w:rsid w:val="009D6C60"/>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181"/>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13E"/>
    <w:rsid w:val="00A2736A"/>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4DD"/>
    <w:rsid w:val="00A3588F"/>
    <w:rsid w:val="00A358A0"/>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E4C"/>
    <w:rsid w:val="00A64F66"/>
    <w:rsid w:val="00A65172"/>
    <w:rsid w:val="00A6535E"/>
    <w:rsid w:val="00A6590C"/>
    <w:rsid w:val="00A659F7"/>
    <w:rsid w:val="00A65BD9"/>
    <w:rsid w:val="00A65CAB"/>
    <w:rsid w:val="00A65D70"/>
    <w:rsid w:val="00A65ED3"/>
    <w:rsid w:val="00A660F7"/>
    <w:rsid w:val="00A66247"/>
    <w:rsid w:val="00A662BB"/>
    <w:rsid w:val="00A665EF"/>
    <w:rsid w:val="00A6672B"/>
    <w:rsid w:val="00A66AB6"/>
    <w:rsid w:val="00A670D6"/>
    <w:rsid w:val="00A6727F"/>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59F"/>
    <w:rsid w:val="00A8593D"/>
    <w:rsid w:val="00A859A7"/>
    <w:rsid w:val="00A85A1C"/>
    <w:rsid w:val="00A86057"/>
    <w:rsid w:val="00A8688A"/>
    <w:rsid w:val="00A86E5F"/>
    <w:rsid w:val="00A872A5"/>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7F5"/>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D69"/>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BF5"/>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358"/>
    <w:rsid w:val="00B23858"/>
    <w:rsid w:val="00B247C2"/>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622"/>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4"/>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B2C"/>
    <w:rsid w:val="00C17E82"/>
    <w:rsid w:val="00C203F4"/>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01"/>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188"/>
    <w:rsid w:val="00C532CD"/>
    <w:rsid w:val="00C534F1"/>
    <w:rsid w:val="00C5371A"/>
    <w:rsid w:val="00C539A5"/>
    <w:rsid w:val="00C53A47"/>
    <w:rsid w:val="00C541F7"/>
    <w:rsid w:val="00C544C8"/>
    <w:rsid w:val="00C54ABB"/>
    <w:rsid w:val="00C54CD5"/>
    <w:rsid w:val="00C55005"/>
    <w:rsid w:val="00C55072"/>
    <w:rsid w:val="00C550A8"/>
    <w:rsid w:val="00C55185"/>
    <w:rsid w:val="00C555B9"/>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97B"/>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34E"/>
    <w:rsid w:val="00CD572D"/>
    <w:rsid w:val="00CD57F8"/>
    <w:rsid w:val="00CD5BFC"/>
    <w:rsid w:val="00CD5CEA"/>
    <w:rsid w:val="00CD607A"/>
    <w:rsid w:val="00CD60B9"/>
    <w:rsid w:val="00CD63F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65A"/>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1E5"/>
    <w:rsid w:val="00CE4495"/>
    <w:rsid w:val="00CE4586"/>
    <w:rsid w:val="00CE45F0"/>
    <w:rsid w:val="00CE4B5F"/>
    <w:rsid w:val="00CE55CB"/>
    <w:rsid w:val="00CE55F8"/>
    <w:rsid w:val="00CE5660"/>
    <w:rsid w:val="00CE566F"/>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03"/>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B5F"/>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E62"/>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58"/>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5CA"/>
    <w:rsid w:val="00DB06E5"/>
    <w:rsid w:val="00DB0704"/>
    <w:rsid w:val="00DB0925"/>
    <w:rsid w:val="00DB0965"/>
    <w:rsid w:val="00DB0C28"/>
    <w:rsid w:val="00DB0C51"/>
    <w:rsid w:val="00DB0D02"/>
    <w:rsid w:val="00DB0DEF"/>
    <w:rsid w:val="00DB1188"/>
    <w:rsid w:val="00DB18FF"/>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5CF"/>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5DE"/>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53C"/>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211"/>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63F"/>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724"/>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7B5"/>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73"/>
    <w:rsid w:val="00ED2FC3"/>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2A0"/>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0F4"/>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522"/>
    <w:rsid w:val="00FA468F"/>
    <w:rsid w:val="00FA4BB6"/>
    <w:rsid w:val="00FA5133"/>
    <w:rsid w:val="00FA513D"/>
    <w:rsid w:val="00FA515D"/>
    <w:rsid w:val="00FA53B1"/>
    <w:rsid w:val="00FA54E9"/>
    <w:rsid w:val="00FA618C"/>
    <w:rsid w:val="00FA6214"/>
    <w:rsid w:val="00FA6679"/>
    <w:rsid w:val="00FA6728"/>
    <w:rsid w:val="00FA6A84"/>
    <w:rsid w:val="00FA6B0D"/>
    <w:rsid w:val="00FA6BAB"/>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454"/>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67895"/>
    <w:rsid w:val="014F79AA"/>
    <w:rsid w:val="015249FD"/>
    <w:rsid w:val="015264A0"/>
    <w:rsid w:val="01604DC0"/>
    <w:rsid w:val="016C53E8"/>
    <w:rsid w:val="016F1A2E"/>
    <w:rsid w:val="0179796A"/>
    <w:rsid w:val="018D5C04"/>
    <w:rsid w:val="01997ACF"/>
    <w:rsid w:val="019B5B19"/>
    <w:rsid w:val="019D2B5F"/>
    <w:rsid w:val="01B04005"/>
    <w:rsid w:val="01B81AF2"/>
    <w:rsid w:val="01B8347F"/>
    <w:rsid w:val="01BC425F"/>
    <w:rsid w:val="01CD3F24"/>
    <w:rsid w:val="01D77ED7"/>
    <w:rsid w:val="01E61A06"/>
    <w:rsid w:val="01E92270"/>
    <w:rsid w:val="020C2DCB"/>
    <w:rsid w:val="021501BD"/>
    <w:rsid w:val="0216677E"/>
    <w:rsid w:val="021C4991"/>
    <w:rsid w:val="02206671"/>
    <w:rsid w:val="0222608E"/>
    <w:rsid w:val="02265D55"/>
    <w:rsid w:val="02266E5D"/>
    <w:rsid w:val="0227664A"/>
    <w:rsid w:val="023245FA"/>
    <w:rsid w:val="02365154"/>
    <w:rsid w:val="02373DC2"/>
    <w:rsid w:val="024954F8"/>
    <w:rsid w:val="02517A58"/>
    <w:rsid w:val="025622C9"/>
    <w:rsid w:val="02571143"/>
    <w:rsid w:val="025A555D"/>
    <w:rsid w:val="026022C9"/>
    <w:rsid w:val="02607F96"/>
    <w:rsid w:val="02644657"/>
    <w:rsid w:val="026B0F71"/>
    <w:rsid w:val="026B397E"/>
    <w:rsid w:val="02747219"/>
    <w:rsid w:val="02793093"/>
    <w:rsid w:val="02807ABD"/>
    <w:rsid w:val="02837BB9"/>
    <w:rsid w:val="028D2B07"/>
    <w:rsid w:val="028E2B6D"/>
    <w:rsid w:val="028E74C9"/>
    <w:rsid w:val="02935BFE"/>
    <w:rsid w:val="02944BA6"/>
    <w:rsid w:val="029772A7"/>
    <w:rsid w:val="02A24EAC"/>
    <w:rsid w:val="02A65ED7"/>
    <w:rsid w:val="02AB3FFB"/>
    <w:rsid w:val="02AF57BA"/>
    <w:rsid w:val="02B30715"/>
    <w:rsid w:val="02B73965"/>
    <w:rsid w:val="02B752F4"/>
    <w:rsid w:val="02B91C51"/>
    <w:rsid w:val="02C31FE8"/>
    <w:rsid w:val="02C41336"/>
    <w:rsid w:val="02CB566D"/>
    <w:rsid w:val="02CD3FE0"/>
    <w:rsid w:val="02D34FF1"/>
    <w:rsid w:val="02DF32E1"/>
    <w:rsid w:val="02E60FAD"/>
    <w:rsid w:val="02F400B3"/>
    <w:rsid w:val="02F43FD5"/>
    <w:rsid w:val="02F520A6"/>
    <w:rsid w:val="02FE7720"/>
    <w:rsid w:val="03034770"/>
    <w:rsid w:val="030622C5"/>
    <w:rsid w:val="0309724D"/>
    <w:rsid w:val="030F13EA"/>
    <w:rsid w:val="03124B47"/>
    <w:rsid w:val="03144CE8"/>
    <w:rsid w:val="03166FA7"/>
    <w:rsid w:val="031A5A41"/>
    <w:rsid w:val="032018C8"/>
    <w:rsid w:val="0324444A"/>
    <w:rsid w:val="033F24AC"/>
    <w:rsid w:val="034B245A"/>
    <w:rsid w:val="0352534A"/>
    <w:rsid w:val="035335FA"/>
    <w:rsid w:val="0356450F"/>
    <w:rsid w:val="03565327"/>
    <w:rsid w:val="03593D16"/>
    <w:rsid w:val="035A6F75"/>
    <w:rsid w:val="035F290B"/>
    <w:rsid w:val="035F3252"/>
    <w:rsid w:val="037B5058"/>
    <w:rsid w:val="03807DAB"/>
    <w:rsid w:val="03873A54"/>
    <w:rsid w:val="03892ABA"/>
    <w:rsid w:val="038A6707"/>
    <w:rsid w:val="03952D20"/>
    <w:rsid w:val="03A244B5"/>
    <w:rsid w:val="03AB7D12"/>
    <w:rsid w:val="03AF6161"/>
    <w:rsid w:val="03B33D91"/>
    <w:rsid w:val="03B76643"/>
    <w:rsid w:val="03BC7AC0"/>
    <w:rsid w:val="03DC09B2"/>
    <w:rsid w:val="03E43410"/>
    <w:rsid w:val="03F558F1"/>
    <w:rsid w:val="03FE0879"/>
    <w:rsid w:val="04027497"/>
    <w:rsid w:val="04047236"/>
    <w:rsid w:val="040B5E04"/>
    <w:rsid w:val="040E50DA"/>
    <w:rsid w:val="041212F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4073"/>
    <w:rsid w:val="04A66C6A"/>
    <w:rsid w:val="04A93804"/>
    <w:rsid w:val="04AB0590"/>
    <w:rsid w:val="04AC3F1E"/>
    <w:rsid w:val="04B42AAF"/>
    <w:rsid w:val="04B51667"/>
    <w:rsid w:val="04CB127E"/>
    <w:rsid w:val="04DE7C00"/>
    <w:rsid w:val="04E7515D"/>
    <w:rsid w:val="04F43D09"/>
    <w:rsid w:val="04F564FF"/>
    <w:rsid w:val="04F713E5"/>
    <w:rsid w:val="04F7195B"/>
    <w:rsid w:val="04FC7151"/>
    <w:rsid w:val="050350F8"/>
    <w:rsid w:val="05161870"/>
    <w:rsid w:val="05170BBC"/>
    <w:rsid w:val="05184428"/>
    <w:rsid w:val="05230410"/>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A11C07"/>
    <w:rsid w:val="05A1376A"/>
    <w:rsid w:val="05A14873"/>
    <w:rsid w:val="05A572A8"/>
    <w:rsid w:val="05A67A7B"/>
    <w:rsid w:val="05AA3DD4"/>
    <w:rsid w:val="05AF4D49"/>
    <w:rsid w:val="05B01635"/>
    <w:rsid w:val="05B75055"/>
    <w:rsid w:val="05BA5EF0"/>
    <w:rsid w:val="05BC5506"/>
    <w:rsid w:val="05D2520B"/>
    <w:rsid w:val="05D85B25"/>
    <w:rsid w:val="05E625E2"/>
    <w:rsid w:val="05F01E2F"/>
    <w:rsid w:val="05F447F5"/>
    <w:rsid w:val="05F53335"/>
    <w:rsid w:val="05FF451B"/>
    <w:rsid w:val="060361C4"/>
    <w:rsid w:val="06072B25"/>
    <w:rsid w:val="060C1575"/>
    <w:rsid w:val="06222386"/>
    <w:rsid w:val="062D3B55"/>
    <w:rsid w:val="062E76F9"/>
    <w:rsid w:val="06301A1D"/>
    <w:rsid w:val="0635512F"/>
    <w:rsid w:val="063F0605"/>
    <w:rsid w:val="06441644"/>
    <w:rsid w:val="06484875"/>
    <w:rsid w:val="06510ADC"/>
    <w:rsid w:val="065A7630"/>
    <w:rsid w:val="0663157F"/>
    <w:rsid w:val="067A3049"/>
    <w:rsid w:val="06826A46"/>
    <w:rsid w:val="068B4232"/>
    <w:rsid w:val="06914453"/>
    <w:rsid w:val="06925CEE"/>
    <w:rsid w:val="0696637A"/>
    <w:rsid w:val="06B84F2B"/>
    <w:rsid w:val="06C349D5"/>
    <w:rsid w:val="06C47F0F"/>
    <w:rsid w:val="06C64DC2"/>
    <w:rsid w:val="06C824F0"/>
    <w:rsid w:val="06D541A8"/>
    <w:rsid w:val="06D63647"/>
    <w:rsid w:val="06D85059"/>
    <w:rsid w:val="06D97305"/>
    <w:rsid w:val="06E45B8E"/>
    <w:rsid w:val="06EA47C2"/>
    <w:rsid w:val="06EB3DBC"/>
    <w:rsid w:val="07043657"/>
    <w:rsid w:val="070C2762"/>
    <w:rsid w:val="072437B4"/>
    <w:rsid w:val="072F7EE0"/>
    <w:rsid w:val="073606DB"/>
    <w:rsid w:val="073966E8"/>
    <w:rsid w:val="07396B8A"/>
    <w:rsid w:val="07443056"/>
    <w:rsid w:val="07445372"/>
    <w:rsid w:val="074E10D5"/>
    <w:rsid w:val="075D38EB"/>
    <w:rsid w:val="076977E4"/>
    <w:rsid w:val="076C58B9"/>
    <w:rsid w:val="07711E12"/>
    <w:rsid w:val="07760BF1"/>
    <w:rsid w:val="07765848"/>
    <w:rsid w:val="077D0637"/>
    <w:rsid w:val="07860886"/>
    <w:rsid w:val="078C505F"/>
    <w:rsid w:val="078D0F6F"/>
    <w:rsid w:val="07AE279F"/>
    <w:rsid w:val="07B22D71"/>
    <w:rsid w:val="07B6661D"/>
    <w:rsid w:val="07B9334A"/>
    <w:rsid w:val="07BA1371"/>
    <w:rsid w:val="07CF283A"/>
    <w:rsid w:val="07D31E6A"/>
    <w:rsid w:val="07D83F95"/>
    <w:rsid w:val="07E421DD"/>
    <w:rsid w:val="07E45CD3"/>
    <w:rsid w:val="07F326C5"/>
    <w:rsid w:val="07F85A7A"/>
    <w:rsid w:val="07FE365F"/>
    <w:rsid w:val="07FF7CEA"/>
    <w:rsid w:val="08002E51"/>
    <w:rsid w:val="08015370"/>
    <w:rsid w:val="080336F5"/>
    <w:rsid w:val="080462BF"/>
    <w:rsid w:val="08054515"/>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E242C"/>
    <w:rsid w:val="087D41CA"/>
    <w:rsid w:val="088469C4"/>
    <w:rsid w:val="0891400A"/>
    <w:rsid w:val="08925983"/>
    <w:rsid w:val="089674C7"/>
    <w:rsid w:val="089F1422"/>
    <w:rsid w:val="08A860E6"/>
    <w:rsid w:val="08AB0479"/>
    <w:rsid w:val="08B37166"/>
    <w:rsid w:val="08B77A81"/>
    <w:rsid w:val="08B82642"/>
    <w:rsid w:val="08C0320F"/>
    <w:rsid w:val="08CB62DF"/>
    <w:rsid w:val="08D079F7"/>
    <w:rsid w:val="08D91C5D"/>
    <w:rsid w:val="08E80EB1"/>
    <w:rsid w:val="08E968D8"/>
    <w:rsid w:val="08EF26B2"/>
    <w:rsid w:val="08F808F8"/>
    <w:rsid w:val="090304DE"/>
    <w:rsid w:val="090341C1"/>
    <w:rsid w:val="0904269C"/>
    <w:rsid w:val="091254BA"/>
    <w:rsid w:val="091619D6"/>
    <w:rsid w:val="091B7BE0"/>
    <w:rsid w:val="09203AED"/>
    <w:rsid w:val="09395883"/>
    <w:rsid w:val="093C12D3"/>
    <w:rsid w:val="093C303C"/>
    <w:rsid w:val="093C6509"/>
    <w:rsid w:val="09417C10"/>
    <w:rsid w:val="09477F2D"/>
    <w:rsid w:val="094C56ED"/>
    <w:rsid w:val="094E297A"/>
    <w:rsid w:val="097D0261"/>
    <w:rsid w:val="097F7C39"/>
    <w:rsid w:val="09A14CEE"/>
    <w:rsid w:val="09A246DB"/>
    <w:rsid w:val="09A75ED7"/>
    <w:rsid w:val="09AD363A"/>
    <w:rsid w:val="09AE5936"/>
    <w:rsid w:val="09B169D7"/>
    <w:rsid w:val="09B351A4"/>
    <w:rsid w:val="09BC4895"/>
    <w:rsid w:val="09CD188C"/>
    <w:rsid w:val="09D272A3"/>
    <w:rsid w:val="09DB5A04"/>
    <w:rsid w:val="09E77A34"/>
    <w:rsid w:val="09F42449"/>
    <w:rsid w:val="09FB29F2"/>
    <w:rsid w:val="0A0D1879"/>
    <w:rsid w:val="0A1A09D5"/>
    <w:rsid w:val="0A213D44"/>
    <w:rsid w:val="0A256377"/>
    <w:rsid w:val="0A256C53"/>
    <w:rsid w:val="0A34296C"/>
    <w:rsid w:val="0A431615"/>
    <w:rsid w:val="0A4613B1"/>
    <w:rsid w:val="0A5B43BC"/>
    <w:rsid w:val="0A5F71CD"/>
    <w:rsid w:val="0A664FFC"/>
    <w:rsid w:val="0A83691D"/>
    <w:rsid w:val="0A8F2CE3"/>
    <w:rsid w:val="0AA87B2B"/>
    <w:rsid w:val="0AAB24F7"/>
    <w:rsid w:val="0AAB60D8"/>
    <w:rsid w:val="0AAC6652"/>
    <w:rsid w:val="0AB515C6"/>
    <w:rsid w:val="0AB73257"/>
    <w:rsid w:val="0AB878BC"/>
    <w:rsid w:val="0AD35C59"/>
    <w:rsid w:val="0AD36BE6"/>
    <w:rsid w:val="0AD64E17"/>
    <w:rsid w:val="0AD8082A"/>
    <w:rsid w:val="0ADC0F4B"/>
    <w:rsid w:val="0ADC17BB"/>
    <w:rsid w:val="0AE25FD9"/>
    <w:rsid w:val="0AE54077"/>
    <w:rsid w:val="0AE70AE7"/>
    <w:rsid w:val="0AEE4BFC"/>
    <w:rsid w:val="0AF0716A"/>
    <w:rsid w:val="0B03601B"/>
    <w:rsid w:val="0B0D567B"/>
    <w:rsid w:val="0B1308EF"/>
    <w:rsid w:val="0B292D30"/>
    <w:rsid w:val="0B2F3694"/>
    <w:rsid w:val="0B304FB1"/>
    <w:rsid w:val="0B3C4010"/>
    <w:rsid w:val="0B47672B"/>
    <w:rsid w:val="0B484A0F"/>
    <w:rsid w:val="0B50319E"/>
    <w:rsid w:val="0B591453"/>
    <w:rsid w:val="0B5F33CA"/>
    <w:rsid w:val="0B615B13"/>
    <w:rsid w:val="0B717EE5"/>
    <w:rsid w:val="0B7356F2"/>
    <w:rsid w:val="0B7E5229"/>
    <w:rsid w:val="0B7F2FA8"/>
    <w:rsid w:val="0B860844"/>
    <w:rsid w:val="0B863002"/>
    <w:rsid w:val="0B8D6AD8"/>
    <w:rsid w:val="0B9C4929"/>
    <w:rsid w:val="0B9E69B8"/>
    <w:rsid w:val="0BA166AE"/>
    <w:rsid w:val="0BA87F9D"/>
    <w:rsid w:val="0BB23F15"/>
    <w:rsid w:val="0BB727AF"/>
    <w:rsid w:val="0BB84C77"/>
    <w:rsid w:val="0BBC475A"/>
    <w:rsid w:val="0BBC484C"/>
    <w:rsid w:val="0BC90E22"/>
    <w:rsid w:val="0BCA38D8"/>
    <w:rsid w:val="0BCF0317"/>
    <w:rsid w:val="0BD75512"/>
    <w:rsid w:val="0BDD7F90"/>
    <w:rsid w:val="0BF3046B"/>
    <w:rsid w:val="0BFF0D11"/>
    <w:rsid w:val="0C0A09D9"/>
    <w:rsid w:val="0C0A27E8"/>
    <w:rsid w:val="0C1B23F1"/>
    <w:rsid w:val="0C1E7B04"/>
    <w:rsid w:val="0C2607FA"/>
    <w:rsid w:val="0C2D49F6"/>
    <w:rsid w:val="0C2E3322"/>
    <w:rsid w:val="0C2F4935"/>
    <w:rsid w:val="0C384F0C"/>
    <w:rsid w:val="0C484AC7"/>
    <w:rsid w:val="0C4867F4"/>
    <w:rsid w:val="0C4B6F82"/>
    <w:rsid w:val="0C60611E"/>
    <w:rsid w:val="0C6F5A31"/>
    <w:rsid w:val="0C7565D7"/>
    <w:rsid w:val="0C7E6C90"/>
    <w:rsid w:val="0C816FA3"/>
    <w:rsid w:val="0C8702A6"/>
    <w:rsid w:val="0C8B6344"/>
    <w:rsid w:val="0C922493"/>
    <w:rsid w:val="0C923341"/>
    <w:rsid w:val="0CA83EB4"/>
    <w:rsid w:val="0CB61F18"/>
    <w:rsid w:val="0CB708F8"/>
    <w:rsid w:val="0CC50305"/>
    <w:rsid w:val="0CC60211"/>
    <w:rsid w:val="0CCB6408"/>
    <w:rsid w:val="0CCC07CB"/>
    <w:rsid w:val="0CD17287"/>
    <w:rsid w:val="0CDF6E27"/>
    <w:rsid w:val="0CE32A7B"/>
    <w:rsid w:val="0CE95F8D"/>
    <w:rsid w:val="0CF43BFB"/>
    <w:rsid w:val="0CFB1D7E"/>
    <w:rsid w:val="0D020B05"/>
    <w:rsid w:val="0D0740D8"/>
    <w:rsid w:val="0D1C42F8"/>
    <w:rsid w:val="0D1E4F72"/>
    <w:rsid w:val="0D2F6CD3"/>
    <w:rsid w:val="0D2F722D"/>
    <w:rsid w:val="0D362085"/>
    <w:rsid w:val="0D3D5B51"/>
    <w:rsid w:val="0D4238F0"/>
    <w:rsid w:val="0D4E222D"/>
    <w:rsid w:val="0D4E7CD5"/>
    <w:rsid w:val="0D531BBD"/>
    <w:rsid w:val="0D582363"/>
    <w:rsid w:val="0D5E525E"/>
    <w:rsid w:val="0D622345"/>
    <w:rsid w:val="0D627813"/>
    <w:rsid w:val="0D69667A"/>
    <w:rsid w:val="0D6D449A"/>
    <w:rsid w:val="0D6E5B4C"/>
    <w:rsid w:val="0D744671"/>
    <w:rsid w:val="0D812E0D"/>
    <w:rsid w:val="0D8E5C0E"/>
    <w:rsid w:val="0D9E29BF"/>
    <w:rsid w:val="0DA03F9C"/>
    <w:rsid w:val="0DA526DC"/>
    <w:rsid w:val="0DA62204"/>
    <w:rsid w:val="0DA87648"/>
    <w:rsid w:val="0DA9121D"/>
    <w:rsid w:val="0DB616FE"/>
    <w:rsid w:val="0DBE4F1A"/>
    <w:rsid w:val="0DBF42D1"/>
    <w:rsid w:val="0DD52FD6"/>
    <w:rsid w:val="0DDC54EB"/>
    <w:rsid w:val="0DE54E2C"/>
    <w:rsid w:val="0DEB3281"/>
    <w:rsid w:val="0DF75661"/>
    <w:rsid w:val="0DFA5F57"/>
    <w:rsid w:val="0E007907"/>
    <w:rsid w:val="0E034917"/>
    <w:rsid w:val="0E0447AC"/>
    <w:rsid w:val="0E0A57DB"/>
    <w:rsid w:val="0E0C5E7B"/>
    <w:rsid w:val="0E1D3F18"/>
    <w:rsid w:val="0E3020F4"/>
    <w:rsid w:val="0E372947"/>
    <w:rsid w:val="0E3A22CB"/>
    <w:rsid w:val="0E3D61CC"/>
    <w:rsid w:val="0E487C99"/>
    <w:rsid w:val="0E4F1EA9"/>
    <w:rsid w:val="0E63143D"/>
    <w:rsid w:val="0E654BED"/>
    <w:rsid w:val="0E7218B8"/>
    <w:rsid w:val="0E7259F4"/>
    <w:rsid w:val="0E830BEC"/>
    <w:rsid w:val="0E832048"/>
    <w:rsid w:val="0E87643A"/>
    <w:rsid w:val="0E905D06"/>
    <w:rsid w:val="0E96169C"/>
    <w:rsid w:val="0EA3211D"/>
    <w:rsid w:val="0EA647D6"/>
    <w:rsid w:val="0EAC5F31"/>
    <w:rsid w:val="0EAE32CA"/>
    <w:rsid w:val="0EBA1AD0"/>
    <w:rsid w:val="0ECD7269"/>
    <w:rsid w:val="0ED40419"/>
    <w:rsid w:val="0EE73BE2"/>
    <w:rsid w:val="0EEA25EC"/>
    <w:rsid w:val="0EF1716E"/>
    <w:rsid w:val="0EF2435C"/>
    <w:rsid w:val="0EF4372E"/>
    <w:rsid w:val="0EF76A6F"/>
    <w:rsid w:val="0EFC3D86"/>
    <w:rsid w:val="0EFE1449"/>
    <w:rsid w:val="0F030AC8"/>
    <w:rsid w:val="0F05251B"/>
    <w:rsid w:val="0F153545"/>
    <w:rsid w:val="0F1824F2"/>
    <w:rsid w:val="0F29096F"/>
    <w:rsid w:val="0F2A0C7E"/>
    <w:rsid w:val="0F3022D4"/>
    <w:rsid w:val="0F305B73"/>
    <w:rsid w:val="0F440986"/>
    <w:rsid w:val="0F492403"/>
    <w:rsid w:val="0F4B2C4C"/>
    <w:rsid w:val="0F4F1996"/>
    <w:rsid w:val="0F533C79"/>
    <w:rsid w:val="0F534A37"/>
    <w:rsid w:val="0F5568FA"/>
    <w:rsid w:val="0F5876DF"/>
    <w:rsid w:val="0F587F40"/>
    <w:rsid w:val="0F5F4256"/>
    <w:rsid w:val="0F842CEB"/>
    <w:rsid w:val="0F9A5E68"/>
    <w:rsid w:val="0F9E5674"/>
    <w:rsid w:val="0FA4540E"/>
    <w:rsid w:val="0FA61643"/>
    <w:rsid w:val="0FA73FBA"/>
    <w:rsid w:val="0FB538B0"/>
    <w:rsid w:val="0FC072A5"/>
    <w:rsid w:val="0FC73AC7"/>
    <w:rsid w:val="0FCA3603"/>
    <w:rsid w:val="0FD16220"/>
    <w:rsid w:val="0FD16D1E"/>
    <w:rsid w:val="0FD9779A"/>
    <w:rsid w:val="0FDC017C"/>
    <w:rsid w:val="0FDC600C"/>
    <w:rsid w:val="0FEB6044"/>
    <w:rsid w:val="0FF55093"/>
    <w:rsid w:val="100329F1"/>
    <w:rsid w:val="10041577"/>
    <w:rsid w:val="10042212"/>
    <w:rsid w:val="10055B3C"/>
    <w:rsid w:val="1007318A"/>
    <w:rsid w:val="100841AB"/>
    <w:rsid w:val="100E6202"/>
    <w:rsid w:val="10161F22"/>
    <w:rsid w:val="102D3950"/>
    <w:rsid w:val="10362111"/>
    <w:rsid w:val="103E1E10"/>
    <w:rsid w:val="10411FB1"/>
    <w:rsid w:val="104B50EC"/>
    <w:rsid w:val="104F09AB"/>
    <w:rsid w:val="10574FA0"/>
    <w:rsid w:val="10612000"/>
    <w:rsid w:val="10666875"/>
    <w:rsid w:val="10666E09"/>
    <w:rsid w:val="10673557"/>
    <w:rsid w:val="106B4E90"/>
    <w:rsid w:val="1071597B"/>
    <w:rsid w:val="10736865"/>
    <w:rsid w:val="10742538"/>
    <w:rsid w:val="107816E8"/>
    <w:rsid w:val="107D50B8"/>
    <w:rsid w:val="107E075F"/>
    <w:rsid w:val="108016CB"/>
    <w:rsid w:val="109A07DA"/>
    <w:rsid w:val="10A1301E"/>
    <w:rsid w:val="10A1582F"/>
    <w:rsid w:val="10A23EB3"/>
    <w:rsid w:val="10A734BA"/>
    <w:rsid w:val="10AA4ADC"/>
    <w:rsid w:val="10B30DAF"/>
    <w:rsid w:val="10B860D2"/>
    <w:rsid w:val="10B93863"/>
    <w:rsid w:val="10BC78B7"/>
    <w:rsid w:val="10BD5956"/>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CC201F"/>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D2192"/>
    <w:rsid w:val="124F34BD"/>
    <w:rsid w:val="125D56D7"/>
    <w:rsid w:val="12623B20"/>
    <w:rsid w:val="126252E2"/>
    <w:rsid w:val="126A59FE"/>
    <w:rsid w:val="126B471D"/>
    <w:rsid w:val="126D3D3C"/>
    <w:rsid w:val="126E5F20"/>
    <w:rsid w:val="127200FB"/>
    <w:rsid w:val="128944E1"/>
    <w:rsid w:val="128B54AD"/>
    <w:rsid w:val="12A2166D"/>
    <w:rsid w:val="12B02EE1"/>
    <w:rsid w:val="12B10B2F"/>
    <w:rsid w:val="12B560E2"/>
    <w:rsid w:val="12CF15C3"/>
    <w:rsid w:val="12D17323"/>
    <w:rsid w:val="12DA7FC3"/>
    <w:rsid w:val="12EB0579"/>
    <w:rsid w:val="12F07D1F"/>
    <w:rsid w:val="12F3505A"/>
    <w:rsid w:val="12F9759B"/>
    <w:rsid w:val="12FA6B3F"/>
    <w:rsid w:val="12FF3379"/>
    <w:rsid w:val="130B479A"/>
    <w:rsid w:val="130D1138"/>
    <w:rsid w:val="130D31CD"/>
    <w:rsid w:val="13121F8D"/>
    <w:rsid w:val="1312735C"/>
    <w:rsid w:val="13127DB7"/>
    <w:rsid w:val="13170BC9"/>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538AC"/>
    <w:rsid w:val="13E578CE"/>
    <w:rsid w:val="13F111E6"/>
    <w:rsid w:val="13F2777B"/>
    <w:rsid w:val="13FA7919"/>
    <w:rsid w:val="13FF2FC3"/>
    <w:rsid w:val="14066169"/>
    <w:rsid w:val="14086ADC"/>
    <w:rsid w:val="140E1169"/>
    <w:rsid w:val="14132F83"/>
    <w:rsid w:val="141540F7"/>
    <w:rsid w:val="141C47AD"/>
    <w:rsid w:val="141E6F9C"/>
    <w:rsid w:val="14256499"/>
    <w:rsid w:val="142606B7"/>
    <w:rsid w:val="14270CE5"/>
    <w:rsid w:val="142B7C45"/>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6AFA"/>
    <w:rsid w:val="149173D4"/>
    <w:rsid w:val="149414DE"/>
    <w:rsid w:val="14967024"/>
    <w:rsid w:val="14981701"/>
    <w:rsid w:val="149F6938"/>
    <w:rsid w:val="14A01FF6"/>
    <w:rsid w:val="14A20472"/>
    <w:rsid w:val="14A40A32"/>
    <w:rsid w:val="14B37A0C"/>
    <w:rsid w:val="14BF5076"/>
    <w:rsid w:val="14C234DE"/>
    <w:rsid w:val="14CA5EF6"/>
    <w:rsid w:val="14D20AD2"/>
    <w:rsid w:val="14D766EA"/>
    <w:rsid w:val="14E049F2"/>
    <w:rsid w:val="14E332BD"/>
    <w:rsid w:val="14E46C5E"/>
    <w:rsid w:val="14E86324"/>
    <w:rsid w:val="14EC759E"/>
    <w:rsid w:val="14EF3AD4"/>
    <w:rsid w:val="14F26230"/>
    <w:rsid w:val="14FD1042"/>
    <w:rsid w:val="15036255"/>
    <w:rsid w:val="1519698C"/>
    <w:rsid w:val="151A4DCE"/>
    <w:rsid w:val="152475EF"/>
    <w:rsid w:val="152C7D6F"/>
    <w:rsid w:val="15327296"/>
    <w:rsid w:val="15434E2C"/>
    <w:rsid w:val="15524FA7"/>
    <w:rsid w:val="15532760"/>
    <w:rsid w:val="155B2748"/>
    <w:rsid w:val="15614B7E"/>
    <w:rsid w:val="1565291E"/>
    <w:rsid w:val="15683B2E"/>
    <w:rsid w:val="15702BBB"/>
    <w:rsid w:val="1574066D"/>
    <w:rsid w:val="158759EE"/>
    <w:rsid w:val="15896966"/>
    <w:rsid w:val="158B5C43"/>
    <w:rsid w:val="158D70AA"/>
    <w:rsid w:val="158D7132"/>
    <w:rsid w:val="158E40AE"/>
    <w:rsid w:val="159D1AB9"/>
    <w:rsid w:val="159F4F5E"/>
    <w:rsid w:val="15A2655A"/>
    <w:rsid w:val="15A41718"/>
    <w:rsid w:val="15A70003"/>
    <w:rsid w:val="15AA4CA2"/>
    <w:rsid w:val="15AB0C22"/>
    <w:rsid w:val="15B14DFF"/>
    <w:rsid w:val="15B62848"/>
    <w:rsid w:val="15BD2774"/>
    <w:rsid w:val="15CA50D8"/>
    <w:rsid w:val="15CB70AE"/>
    <w:rsid w:val="15CE3040"/>
    <w:rsid w:val="15D572A3"/>
    <w:rsid w:val="15D75AD0"/>
    <w:rsid w:val="15D90292"/>
    <w:rsid w:val="15DD3466"/>
    <w:rsid w:val="15DE4F45"/>
    <w:rsid w:val="15E8344F"/>
    <w:rsid w:val="15EE4ED6"/>
    <w:rsid w:val="15F03B25"/>
    <w:rsid w:val="160D1773"/>
    <w:rsid w:val="162033FA"/>
    <w:rsid w:val="16233D48"/>
    <w:rsid w:val="16415466"/>
    <w:rsid w:val="16423C1A"/>
    <w:rsid w:val="16583794"/>
    <w:rsid w:val="165A5E90"/>
    <w:rsid w:val="165B5705"/>
    <w:rsid w:val="166069D0"/>
    <w:rsid w:val="16640371"/>
    <w:rsid w:val="16665605"/>
    <w:rsid w:val="166754B4"/>
    <w:rsid w:val="166B3BEF"/>
    <w:rsid w:val="16752080"/>
    <w:rsid w:val="1678039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B0642"/>
    <w:rsid w:val="16D23EF5"/>
    <w:rsid w:val="16DF50D5"/>
    <w:rsid w:val="16E67996"/>
    <w:rsid w:val="16ED3305"/>
    <w:rsid w:val="16F65D2C"/>
    <w:rsid w:val="16FB4F5A"/>
    <w:rsid w:val="16FF7643"/>
    <w:rsid w:val="17017C94"/>
    <w:rsid w:val="17053911"/>
    <w:rsid w:val="17072BFF"/>
    <w:rsid w:val="170C121A"/>
    <w:rsid w:val="17140AA0"/>
    <w:rsid w:val="171C020F"/>
    <w:rsid w:val="172C636D"/>
    <w:rsid w:val="17303A25"/>
    <w:rsid w:val="17313127"/>
    <w:rsid w:val="17382BA2"/>
    <w:rsid w:val="17467154"/>
    <w:rsid w:val="174C5C5D"/>
    <w:rsid w:val="174F0844"/>
    <w:rsid w:val="17531F50"/>
    <w:rsid w:val="176264F3"/>
    <w:rsid w:val="17766358"/>
    <w:rsid w:val="177D0859"/>
    <w:rsid w:val="177D0E95"/>
    <w:rsid w:val="178064E8"/>
    <w:rsid w:val="178202C9"/>
    <w:rsid w:val="17853C6A"/>
    <w:rsid w:val="17896473"/>
    <w:rsid w:val="1790766F"/>
    <w:rsid w:val="179D3102"/>
    <w:rsid w:val="17A37A6E"/>
    <w:rsid w:val="17AF34E9"/>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508AC"/>
    <w:rsid w:val="18056523"/>
    <w:rsid w:val="18087D14"/>
    <w:rsid w:val="180A0F6B"/>
    <w:rsid w:val="18104CC4"/>
    <w:rsid w:val="181F3664"/>
    <w:rsid w:val="182B1090"/>
    <w:rsid w:val="184F75A9"/>
    <w:rsid w:val="18512C49"/>
    <w:rsid w:val="185A308D"/>
    <w:rsid w:val="186053E8"/>
    <w:rsid w:val="18647C6E"/>
    <w:rsid w:val="186503AC"/>
    <w:rsid w:val="18664068"/>
    <w:rsid w:val="186E3500"/>
    <w:rsid w:val="186F3D2C"/>
    <w:rsid w:val="187A461B"/>
    <w:rsid w:val="187C114A"/>
    <w:rsid w:val="187E2380"/>
    <w:rsid w:val="18821AB9"/>
    <w:rsid w:val="18822361"/>
    <w:rsid w:val="18834D66"/>
    <w:rsid w:val="1884739C"/>
    <w:rsid w:val="18984110"/>
    <w:rsid w:val="18AF2CE5"/>
    <w:rsid w:val="18B1592A"/>
    <w:rsid w:val="18B319FA"/>
    <w:rsid w:val="18B42A52"/>
    <w:rsid w:val="18B76BDF"/>
    <w:rsid w:val="18BF1F8C"/>
    <w:rsid w:val="18BF717B"/>
    <w:rsid w:val="18C214C3"/>
    <w:rsid w:val="18C55186"/>
    <w:rsid w:val="18CA4E28"/>
    <w:rsid w:val="18CD5751"/>
    <w:rsid w:val="18D5378C"/>
    <w:rsid w:val="18DF3E44"/>
    <w:rsid w:val="18E34EBB"/>
    <w:rsid w:val="18EE510F"/>
    <w:rsid w:val="18F731F3"/>
    <w:rsid w:val="19003E45"/>
    <w:rsid w:val="190715D8"/>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860C87"/>
    <w:rsid w:val="1987766D"/>
    <w:rsid w:val="19982F2E"/>
    <w:rsid w:val="199F2DAA"/>
    <w:rsid w:val="199F434E"/>
    <w:rsid w:val="19A663F7"/>
    <w:rsid w:val="19AC5395"/>
    <w:rsid w:val="19AE57FE"/>
    <w:rsid w:val="19B17D5A"/>
    <w:rsid w:val="19B21E63"/>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A2106"/>
    <w:rsid w:val="1A267927"/>
    <w:rsid w:val="1A2B1BD0"/>
    <w:rsid w:val="1A2B4C89"/>
    <w:rsid w:val="1A307FD4"/>
    <w:rsid w:val="1A3B74CB"/>
    <w:rsid w:val="1A4332DC"/>
    <w:rsid w:val="1A474D07"/>
    <w:rsid w:val="1A525F21"/>
    <w:rsid w:val="1A551C74"/>
    <w:rsid w:val="1A5902CD"/>
    <w:rsid w:val="1A5E697D"/>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320D"/>
    <w:rsid w:val="1AC05055"/>
    <w:rsid w:val="1ADF03A3"/>
    <w:rsid w:val="1AE23D75"/>
    <w:rsid w:val="1AE35A53"/>
    <w:rsid w:val="1B080AA1"/>
    <w:rsid w:val="1B0B74D8"/>
    <w:rsid w:val="1B0D5630"/>
    <w:rsid w:val="1B0F24A7"/>
    <w:rsid w:val="1B226521"/>
    <w:rsid w:val="1B266953"/>
    <w:rsid w:val="1B287D95"/>
    <w:rsid w:val="1B2B48C7"/>
    <w:rsid w:val="1B2C4022"/>
    <w:rsid w:val="1B345478"/>
    <w:rsid w:val="1B39690D"/>
    <w:rsid w:val="1B3E44C1"/>
    <w:rsid w:val="1B3F260B"/>
    <w:rsid w:val="1B4168DE"/>
    <w:rsid w:val="1B421FD2"/>
    <w:rsid w:val="1B4B11BE"/>
    <w:rsid w:val="1B566EF8"/>
    <w:rsid w:val="1B5D1EA7"/>
    <w:rsid w:val="1B5E0F3F"/>
    <w:rsid w:val="1B5E7672"/>
    <w:rsid w:val="1B6A08D0"/>
    <w:rsid w:val="1B784727"/>
    <w:rsid w:val="1B7976C3"/>
    <w:rsid w:val="1B7A475B"/>
    <w:rsid w:val="1B7A4C29"/>
    <w:rsid w:val="1B8D24E6"/>
    <w:rsid w:val="1B9273DB"/>
    <w:rsid w:val="1B936AF6"/>
    <w:rsid w:val="1BA4576F"/>
    <w:rsid w:val="1BA859FB"/>
    <w:rsid w:val="1BAE647A"/>
    <w:rsid w:val="1BBF1274"/>
    <w:rsid w:val="1BBF676D"/>
    <w:rsid w:val="1BC26F09"/>
    <w:rsid w:val="1BC45008"/>
    <w:rsid w:val="1BC624D9"/>
    <w:rsid w:val="1BCE4112"/>
    <w:rsid w:val="1BD80673"/>
    <w:rsid w:val="1BF36301"/>
    <w:rsid w:val="1BF830D1"/>
    <w:rsid w:val="1BFA1814"/>
    <w:rsid w:val="1BFE562F"/>
    <w:rsid w:val="1C00639F"/>
    <w:rsid w:val="1C031EBA"/>
    <w:rsid w:val="1C1672DC"/>
    <w:rsid w:val="1C245DA4"/>
    <w:rsid w:val="1C282794"/>
    <w:rsid w:val="1C2C4C0F"/>
    <w:rsid w:val="1C2F4A60"/>
    <w:rsid w:val="1C390FC4"/>
    <w:rsid w:val="1C3C5060"/>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D0D0E"/>
    <w:rsid w:val="1CBB214E"/>
    <w:rsid w:val="1CBC31BA"/>
    <w:rsid w:val="1CCE319B"/>
    <w:rsid w:val="1CDC2785"/>
    <w:rsid w:val="1CE3753F"/>
    <w:rsid w:val="1CE42B5D"/>
    <w:rsid w:val="1CEE67C3"/>
    <w:rsid w:val="1CFA4CEC"/>
    <w:rsid w:val="1CFD303B"/>
    <w:rsid w:val="1D093430"/>
    <w:rsid w:val="1D0D2A38"/>
    <w:rsid w:val="1D0F7034"/>
    <w:rsid w:val="1D1F0CB2"/>
    <w:rsid w:val="1D375354"/>
    <w:rsid w:val="1D3A4B1D"/>
    <w:rsid w:val="1D3B732D"/>
    <w:rsid w:val="1D4239FA"/>
    <w:rsid w:val="1D442E93"/>
    <w:rsid w:val="1D480956"/>
    <w:rsid w:val="1D4A5A89"/>
    <w:rsid w:val="1D4E0C88"/>
    <w:rsid w:val="1D4E41B6"/>
    <w:rsid w:val="1D575C2C"/>
    <w:rsid w:val="1D5B4B48"/>
    <w:rsid w:val="1D651BFF"/>
    <w:rsid w:val="1D6823CD"/>
    <w:rsid w:val="1D70683B"/>
    <w:rsid w:val="1D7307BC"/>
    <w:rsid w:val="1D797217"/>
    <w:rsid w:val="1D7F4CA9"/>
    <w:rsid w:val="1D98109D"/>
    <w:rsid w:val="1DA50130"/>
    <w:rsid w:val="1DB34611"/>
    <w:rsid w:val="1DB45EAF"/>
    <w:rsid w:val="1DB64AEF"/>
    <w:rsid w:val="1DB847FF"/>
    <w:rsid w:val="1DBD471E"/>
    <w:rsid w:val="1DBF27A5"/>
    <w:rsid w:val="1DC30C6A"/>
    <w:rsid w:val="1DCA2750"/>
    <w:rsid w:val="1DCF0BE9"/>
    <w:rsid w:val="1DD33CD4"/>
    <w:rsid w:val="1DD875C6"/>
    <w:rsid w:val="1DDE5846"/>
    <w:rsid w:val="1DE14886"/>
    <w:rsid w:val="1DFD34F7"/>
    <w:rsid w:val="1DFE3D2C"/>
    <w:rsid w:val="1DFF7AE1"/>
    <w:rsid w:val="1E041BF6"/>
    <w:rsid w:val="1E1063E1"/>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974C83"/>
    <w:rsid w:val="1E977DD0"/>
    <w:rsid w:val="1EA85F60"/>
    <w:rsid w:val="1EAC7F90"/>
    <w:rsid w:val="1EAF4BD6"/>
    <w:rsid w:val="1EB25696"/>
    <w:rsid w:val="1EBE5CB7"/>
    <w:rsid w:val="1EC167E4"/>
    <w:rsid w:val="1EC219B7"/>
    <w:rsid w:val="1EC64612"/>
    <w:rsid w:val="1ED11588"/>
    <w:rsid w:val="1ED12BC9"/>
    <w:rsid w:val="1ED63161"/>
    <w:rsid w:val="1EDF3E98"/>
    <w:rsid w:val="1EE05B39"/>
    <w:rsid w:val="1EEE370A"/>
    <w:rsid w:val="1EFD0709"/>
    <w:rsid w:val="1EFE623D"/>
    <w:rsid w:val="1EFF61EC"/>
    <w:rsid w:val="1F021D32"/>
    <w:rsid w:val="1F20022E"/>
    <w:rsid w:val="1F3A3B7C"/>
    <w:rsid w:val="1F3F2D3F"/>
    <w:rsid w:val="1F4B7876"/>
    <w:rsid w:val="1F4E539B"/>
    <w:rsid w:val="1F4F4677"/>
    <w:rsid w:val="1F5F2826"/>
    <w:rsid w:val="1F680638"/>
    <w:rsid w:val="1F687E82"/>
    <w:rsid w:val="1F7F4E28"/>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E8311C"/>
    <w:rsid w:val="1FEE0E99"/>
    <w:rsid w:val="20022282"/>
    <w:rsid w:val="20034004"/>
    <w:rsid w:val="200377E2"/>
    <w:rsid w:val="20092180"/>
    <w:rsid w:val="200A5BE1"/>
    <w:rsid w:val="200D3A6E"/>
    <w:rsid w:val="200D5153"/>
    <w:rsid w:val="200E31D5"/>
    <w:rsid w:val="20165DE1"/>
    <w:rsid w:val="201840AB"/>
    <w:rsid w:val="20246F90"/>
    <w:rsid w:val="202B568B"/>
    <w:rsid w:val="20340A52"/>
    <w:rsid w:val="2035526E"/>
    <w:rsid w:val="20397DB1"/>
    <w:rsid w:val="203A428A"/>
    <w:rsid w:val="204464C7"/>
    <w:rsid w:val="20471F92"/>
    <w:rsid w:val="204A5224"/>
    <w:rsid w:val="205C3927"/>
    <w:rsid w:val="20601F3B"/>
    <w:rsid w:val="206C2785"/>
    <w:rsid w:val="206F4751"/>
    <w:rsid w:val="206F784D"/>
    <w:rsid w:val="207765EC"/>
    <w:rsid w:val="207C04F9"/>
    <w:rsid w:val="209232CB"/>
    <w:rsid w:val="209D53BA"/>
    <w:rsid w:val="20AD5F39"/>
    <w:rsid w:val="20B86A91"/>
    <w:rsid w:val="20C928CA"/>
    <w:rsid w:val="20CC4CBE"/>
    <w:rsid w:val="20DA53A0"/>
    <w:rsid w:val="20E02450"/>
    <w:rsid w:val="20E33181"/>
    <w:rsid w:val="20E74C64"/>
    <w:rsid w:val="20F72783"/>
    <w:rsid w:val="21024A04"/>
    <w:rsid w:val="21053D47"/>
    <w:rsid w:val="21092803"/>
    <w:rsid w:val="21092A15"/>
    <w:rsid w:val="210F7863"/>
    <w:rsid w:val="2113589E"/>
    <w:rsid w:val="21196B8A"/>
    <w:rsid w:val="212D408D"/>
    <w:rsid w:val="212E2B0F"/>
    <w:rsid w:val="21317B0E"/>
    <w:rsid w:val="2134434C"/>
    <w:rsid w:val="213F06F1"/>
    <w:rsid w:val="213F7B16"/>
    <w:rsid w:val="2143203D"/>
    <w:rsid w:val="21460172"/>
    <w:rsid w:val="21461BDA"/>
    <w:rsid w:val="214B234C"/>
    <w:rsid w:val="2153203D"/>
    <w:rsid w:val="215336ED"/>
    <w:rsid w:val="2157796B"/>
    <w:rsid w:val="21590BCE"/>
    <w:rsid w:val="215C0588"/>
    <w:rsid w:val="215C2136"/>
    <w:rsid w:val="216225B0"/>
    <w:rsid w:val="21634E83"/>
    <w:rsid w:val="21644482"/>
    <w:rsid w:val="21647276"/>
    <w:rsid w:val="216C69AF"/>
    <w:rsid w:val="21703D25"/>
    <w:rsid w:val="2177648E"/>
    <w:rsid w:val="21855FB9"/>
    <w:rsid w:val="218B225B"/>
    <w:rsid w:val="2191567D"/>
    <w:rsid w:val="21972DD3"/>
    <w:rsid w:val="219C0657"/>
    <w:rsid w:val="21AB1AA1"/>
    <w:rsid w:val="21AC0A94"/>
    <w:rsid w:val="21AE18EB"/>
    <w:rsid w:val="21B043CF"/>
    <w:rsid w:val="21B369BA"/>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E4177"/>
    <w:rsid w:val="223162EF"/>
    <w:rsid w:val="223D7D74"/>
    <w:rsid w:val="22413B6B"/>
    <w:rsid w:val="224949B2"/>
    <w:rsid w:val="224C4E87"/>
    <w:rsid w:val="2254713C"/>
    <w:rsid w:val="2256719F"/>
    <w:rsid w:val="22576B6F"/>
    <w:rsid w:val="22601645"/>
    <w:rsid w:val="22620429"/>
    <w:rsid w:val="226D6B02"/>
    <w:rsid w:val="227A4B3E"/>
    <w:rsid w:val="22811832"/>
    <w:rsid w:val="228529E9"/>
    <w:rsid w:val="228831F1"/>
    <w:rsid w:val="22962F16"/>
    <w:rsid w:val="229F6519"/>
    <w:rsid w:val="22A218F0"/>
    <w:rsid w:val="22A64EAE"/>
    <w:rsid w:val="22A75576"/>
    <w:rsid w:val="22AC423F"/>
    <w:rsid w:val="22AE0ABB"/>
    <w:rsid w:val="22B43D84"/>
    <w:rsid w:val="22BA15D4"/>
    <w:rsid w:val="22BB1FF0"/>
    <w:rsid w:val="22BC26CF"/>
    <w:rsid w:val="22C2541B"/>
    <w:rsid w:val="22CC7C76"/>
    <w:rsid w:val="22DC54AA"/>
    <w:rsid w:val="22E46845"/>
    <w:rsid w:val="22E92B5C"/>
    <w:rsid w:val="22EA5A92"/>
    <w:rsid w:val="22ED1934"/>
    <w:rsid w:val="22F67032"/>
    <w:rsid w:val="230212B8"/>
    <w:rsid w:val="23030702"/>
    <w:rsid w:val="23062764"/>
    <w:rsid w:val="23080E38"/>
    <w:rsid w:val="23112352"/>
    <w:rsid w:val="23177E0F"/>
    <w:rsid w:val="2320730F"/>
    <w:rsid w:val="232331F6"/>
    <w:rsid w:val="23235F04"/>
    <w:rsid w:val="233B5102"/>
    <w:rsid w:val="23435D33"/>
    <w:rsid w:val="23514F5B"/>
    <w:rsid w:val="23526895"/>
    <w:rsid w:val="23527442"/>
    <w:rsid w:val="235765CA"/>
    <w:rsid w:val="23607755"/>
    <w:rsid w:val="2368083A"/>
    <w:rsid w:val="236F1030"/>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55A38"/>
    <w:rsid w:val="23BB021A"/>
    <w:rsid w:val="23BD1ACB"/>
    <w:rsid w:val="23C60923"/>
    <w:rsid w:val="23D95F77"/>
    <w:rsid w:val="23DE0038"/>
    <w:rsid w:val="23F81A94"/>
    <w:rsid w:val="23FC4588"/>
    <w:rsid w:val="241008C8"/>
    <w:rsid w:val="241534A7"/>
    <w:rsid w:val="24266691"/>
    <w:rsid w:val="242B4AD8"/>
    <w:rsid w:val="242B73A3"/>
    <w:rsid w:val="2430145D"/>
    <w:rsid w:val="243F3BC5"/>
    <w:rsid w:val="244A5C16"/>
    <w:rsid w:val="244E0D35"/>
    <w:rsid w:val="24502A0D"/>
    <w:rsid w:val="2451179F"/>
    <w:rsid w:val="24520F93"/>
    <w:rsid w:val="24547F02"/>
    <w:rsid w:val="2468033B"/>
    <w:rsid w:val="24784B85"/>
    <w:rsid w:val="2484174E"/>
    <w:rsid w:val="24893323"/>
    <w:rsid w:val="248D372F"/>
    <w:rsid w:val="249147BC"/>
    <w:rsid w:val="24931D1A"/>
    <w:rsid w:val="24967E1D"/>
    <w:rsid w:val="24981015"/>
    <w:rsid w:val="24987E3F"/>
    <w:rsid w:val="24A0064D"/>
    <w:rsid w:val="24A37E3F"/>
    <w:rsid w:val="24A710D1"/>
    <w:rsid w:val="24A9794E"/>
    <w:rsid w:val="24AE3282"/>
    <w:rsid w:val="24B571BF"/>
    <w:rsid w:val="24BD33B3"/>
    <w:rsid w:val="24CB58F2"/>
    <w:rsid w:val="24CF2F3D"/>
    <w:rsid w:val="24CF6349"/>
    <w:rsid w:val="24DA1699"/>
    <w:rsid w:val="24DC1CDC"/>
    <w:rsid w:val="24F5476D"/>
    <w:rsid w:val="24F552FD"/>
    <w:rsid w:val="24FB73DF"/>
    <w:rsid w:val="24FE12C5"/>
    <w:rsid w:val="2507297B"/>
    <w:rsid w:val="251430EA"/>
    <w:rsid w:val="2516548F"/>
    <w:rsid w:val="25322FA9"/>
    <w:rsid w:val="2535601D"/>
    <w:rsid w:val="253C5757"/>
    <w:rsid w:val="254602F5"/>
    <w:rsid w:val="255A2902"/>
    <w:rsid w:val="255D2987"/>
    <w:rsid w:val="255E68ED"/>
    <w:rsid w:val="25693D83"/>
    <w:rsid w:val="256B1E5E"/>
    <w:rsid w:val="256C43CF"/>
    <w:rsid w:val="25743B93"/>
    <w:rsid w:val="25770905"/>
    <w:rsid w:val="257730B5"/>
    <w:rsid w:val="257B6B56"/>
    <w:rsid w:val="257D76B8"/>
    <w:rsid w:val="25835E6E"/>
    <w:rsid w:val="25847B8B"/>
    <w:rsid w:val="25852F63"/>
    <w:rsid w:val="258B1C1A"/>
    <w:rsid w:val="25965194"/>
    <w:rsid w:val="259A51D8"/>
    <w:rsid w:val="259B705F"/>
    <w:rsid w:val="25AB26F1"/>
    <w:rsid w:val="25AE5CBD"/>
    <w:rsid w:val="25B26B13"/>
    <w:rsid w:val="25B35717"/>
    <w:rsid w:val="25B6624E"/>
    <w:rsid w:val="25BE7F58"/>
    <w:rsid w:val="25C613D9"/>
    <w:rsid w:val="25C66FF7"/>
    <w:rsid w:val="25CB6537"/>
    <w:rsid w:val="25D04004"/>
    <w:rsid w:val="25D62F50"/>
    <w:rsid w:val="25DC79D9"/>
    <w:rsid w:val="25DE7B28"/>
    <w:rsid w:val="25E424FD"/>
    <w:rsid w:val="25EC197C"/>
    <w:rsid w:val="25EE3ED6"/>
    <w:rsid w:val="25F02801"/>
    <w:rsid w:val="25F46164"/>
    <w:rsid w:val="25FA1FD0"/>
    <w:rsid w:val="25FA76F8"/>
    <w:rsid w:val="25FF05F7"/>
    <w:rsid w:val="26012331"/>
    <w:rsid w:val="260651DF"/>
    <w:rsid w:val="26116D9A"/>
    <w:rsid w:val="261E59B9"/>
    <w:rsid w:val="26367DDD"/>
    <w:rsid w:val="263725F3"/>
    <w:rsid w:val="26384145"/>
    <w:rsid w:val="26395362"/>
    <w:rsid w:val="264C6402"/>
    <w:rsid w:val="266759B4"/>
    <w:rsid w:val="266D67CA"/>
    <w:rsid w:val="26716B7E"/>
    <w:rsid w:val="267634A5"/>
    <w:rsid w:val="2678314A"/>
    <w:rsid w:val="2679522B"/>
    <w:rsid w:val="267F6970"/>
    <w:rsid w:val="26814BD1"/>
    <w:rsid w:val="26815F61"/>
    <w:rsid w:val="2688233B"/>
    <w:rsid w:val="268B3AC2"/>
    <w:rsid w:val="269A7829"/>
    <w:rsid w:val="26B57A60"/>
    <w:rsid w:val="26BA755B"/>
    <w:rsid w:val="26BA7DD8"/>
    <w:rsid w:val="26C40749"/>
    <w:rsid w:val="26D51F37"/>
    <w:rsid w:val="26D55359"/>
    <w:rsid w:val="26D66B4B"/>
    <w:rsid w:val="26E908F9"/>
    <w:rsid w:val="26ED7F27"/>
    <w:rsid w:val="26EF7AC9"/>
    <w:rsid w:val="26F015F2"/>
    <w:rsid w:val="26F518C9"/>
    <w:rsid w:val="26F77589"/>
    <w:rsid w:val="26FE2F73"/>
    <w:rsid w:val="270D4902"/>
    <w:rsid w:val="27194AC1"/>
    <w:rsid w:val="271C7BAE"/>
    <w:rsid w:val="271F3D41"/>
    <w:rsid w:val="27240114"/>
    <w:rsid w:val="272D789C"/>
    <w:rsid w:val="272E5BDD"/>
    <w:rsid w:val="2738028B"/>
    <w:rsid w:val="274459EE"/>
    <w:rsid w:val="274500AF"/>
    <w:rsid w:val="274531AA"/>
    <w:rsid w:val="27473068"/>
    <w:rsid w:val="274B4F89"/>
    <w:rsid w:val="274F433C"/>
    <w:rsid w:val="27510987"/>
    <w:rsid w:val="27654C33"/>
    <w:rsid w:val="27655E15"/>
    <w:rsid w:val="27657C77"/>
    <w:rsid w:val="277005F0"/>
    <w:rsid w:val="27702AAA"/>
    <w:rsid w:val="27716C57"/>
    <w:rsid w:val="27787EC9"/>
    <w:rsid w:val="277A2228"/>
    <w:rsid w:val="277C41CD"/>
    <w:rsid w:val="277F5E97"/>
    <w:rsid w:val="278D3DF3"/>
    <w:rsid w:val="27AE498E"/>
    <w:rsid w:val="27AF0149"/>
    <w:rsid w:val="27C70146"/>
    <w:rsid w:val="27DE7EEA"/>
    <w:rsid w:val="27E3007B"/>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463E1"/>
    <w:rsid w:val="2856066C"/>
    <w:rsid w:val="285C3156"/>
    <w:rsid w:val="28630A4F"/>
    <w:rsid w:val="286E1A46"/>
    <w:rsid w:val="28786F66"/>
    <w:rsid w:val="288775DB"/>
    <w:rsid w:val="289A413A"/>
    <w:rsid w:val="28A26206"/>
    <w:rsid w:val="28AB79A3"/>
    <w:rsid w:val="28BB4238"/>
    <w:rsid w:val="28BB455C"/>
    <w:rsid w:val="28C47CAF"/>
    <w:rsid w:val="28D01731"/>
    <w:rsid w:val="28D60F5D"/>
    <w:rsid w:val="28D90442"/>
    <w:rsid w:val="28D92FC8"/>
    <w:rsid w:val="28D93C5D"/>
    <w:rsid w:val="28DB0218"/>
    <w:rsid w:val="28DF6B18"/>
    <w:rsid w:val="28E309D7"/>
    <w:rsid w:val="28EA37AB"/>
    <w:rsid w:val="28EA39A4"/>
    <w:rsid w:val="28F6001D"/>
    <w:rsid w:val="28F67160"/>
    <w:rsid w:val="28F95B87"/>
    <w:rsid w:val="28FD4174"/>
    <w:rsid w:val="2900651C"/>
    <w:rsid w:val="2908660F"/>
    <w:rsid w:val="290A7C49"/>
    <w:rsid w:val="291025A6"/>
    <w:rsid w:val="29181460"/>
    <w:rsid w:val="292147ED"/>
    <w:rsid w:val="29265026"/>
    <w:rsid w:val="293171B7"/>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B129C2"/>
    <w:rsid w:val="29C32223"/>
    <w:rsid w:val="29C357E2"/>
    <w:rsid w:val="29C5567B"/>
    <w:rsid w:val="29C63395"/>
    <w:rsid w:val="29C846A2"/>
    <w:rsid w:val="29CD675A"/>
    <w:rsid w:val="29D3777A"/>
    <w:rsid w:val="29D932EB"/>
    <w:rsid w:val="29E56C2B"/>
    <w:rsid w:val="29EF08D5"/>
    <w:rsid w:val="29F421D2"/>
    <w:rsid w:val="29FB5D7B"/>
    <w:rsid w:val="2A004A98"/>
    <w:rsid w:val="2A072E6D"/>
    <w:rsid w:val="2A15378D"/>
    <w:rsid w:val="2A167CFF"/>
    <w:rsid w:val="2A1D6731"/>
    <w:rsid w:val="2A2253E4"/>
    <w:rsid w:val="2A277FFE"/>
    <w:rsid w:val="2A302B9A"/>
    <w:rsid w:val="2A3757DD"/>
    <w:rsid w:val="2A393D4D"/>
    <w:rsid w:val="2A3E121F"/>
    <w:rsid w:val="2A413404"/>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A501D6"/>
    <w:rsid w:val="2AA75203"/>
    <w:rsid w:val="2AAB4D8B"/>
    <w:rsid w:val="2AAB70B8"/>
    <w:rsid w:val="2ACF29D0"/>
    <w:rsid w:val="2AD23946"/>
    <w:rsid w:val="2AD757C5"/>
    <w:rsid w:val="2AD8268C"/>
    <w:rsid w:val="2ADC7704"/>
    <w:rsid w:val="2AE3144E"/>
    <w:rsid w:val="2AEA5FD6"/>
    <w:rsid w:val="2AED024D"/>
    <w:rsid w:val="2AF64858"/>
    <w:rsid w:val="2B006B0F"/>
    <w:rsid w:val="2B0C73F8"/>
    <w:rsid w:val="2B0D431B"/>
    <w:rsid w:val="2B3D434D"/>
    <w:rsid w:val="2B3E0DCF"/>
    <w:rsid w:val="2B3F6E91"/>
    <w:rsid w:val="2B4170BC"/>
    <w:rsid w:val="2B4B1A6B"/>
    <w:rsid w:val="2B4F3B95"/>
    <w:rsid w:val="2B531E90"/>
    <w:rsid w:val="2B5D1DEE"/>
    <w:rsid w:val="2B60285C"/>
    <w:rsid w:val="2B6E756A"/>
    <w:rsid w:val="2B730F16"/>
    <w:rsid w:val="2B793AB6"/>
    <w:rsid w:val="2B894A0E"/>
    <w:rsid w:val="2B992D8F"/>
    <w:rsid w:val="2B9947F0"/>
    <w:rsid w:val="2BA17E61"/>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D44CC"/>
    <w:rsid w:val="2C296497"/>
    <w:rsid w:val="2C32741A"/>
    <w:rsid w:val="2C3A79D3"/>
    <w:rsid w:val="2C407C6C"/>
    <w:rsid w:val="2C4170CD"/>
    <w:rsid w:val="2C53091D"/>
    <w:rsid w:val="2C600F77"/>
    <w:rsid w:val="2C6A4649"/>
    <w:rsid w:val="2C7077B6"/>
    <w:rsid w:val="2C7358D9"/>
    <w:rsid w:val="2C8A4E2C"/>
    <w:rsid w:val="2C9368EA"/>
    <w:rsid w:val="2C9622DD"/>
    <w:rsid w:val="2C9833B9"/>
    <w:rsid w:val="2C9C090E"/>
    <w:rsid w:val="2C9D585F"/>
    <w:rsid w:val="2CA10581"/>
    <w:rsid w:val="2CA13BB5"/>
    <w:rsid w:val="2CA20A1F"/>
    <w:rsid w:val="2CA74B9E"/>
    <w:rsid w:val="2CA8128D"/>
    <w:rsid w:val="2CB902A3"/>
    <w:rsid w:val="2CBA43E0"/>
    <w:rsid w:val="2CBC3E6E"/>
    <w:rsid w:val="2CBF54AB"/>
    <w:rsid w:val="2CC035BE"/>
    <w:rsid w:val="2CC176C2"/>
    <w:rsid w:val="2CD27B37"/>
    <w:rsid w:val="2CE05C1D"/>
    <w:rsid w:val="2CE35774"/>
    <w:rsid w:val="2CE81AAE"/>
    <w:rsid w:val="2CE93C83"/>
    <w:rsid w:val="2CEC632B"/>
    <w:rsid w:val="2D18778F"/>
    <w:rsid w:val="2D1C0E34"/>
    <w:rsid w:val="2D1D4506"/>
    <w:rsid w:val="2D2176DC"/>
    <w:rsid w:val="2D2642DD"/>
    <w:rsid w:val="2D30371F"/>
    <w:rsid w:val="2D436EEB"/>
    <w:rsid w:val="2D457CF5"/>
    <w:rsid w:val="2D4F3F2D"/>
    <w:rsid w:val="2D582E2A"/>
    <w:rsid w:val="2D611C47"/>
    <w:rsid w:val="2D6A33D8"/>
    <w:rsid w:val="2D6D4F8A"/>
    <w:rsid w:val="2D6E2C94"/>
    <w:rsid w:val="2D6F258E"/>
    <w:rsid w:val="2D704CAB"/>
    <w:rsid w:val="2D7A621F"/>
    <w:rsid w:val="2D7B3681"/>
    <w:rsid w:val="2D7E16E3"/>
    <w:rsid w:val="2D8251A3"/>
    <w:rsid w:val="2D846603"/>
    <w:rsid w:val="2D8D2FD2"/>
    <w:rsid w:val="2D8D7DD2"/>
    <w:rsid w:val="2D8D7DE4"/>
    <w:rsid w:val="2D95522D"/>
    <w:rsid w:val="2D9810CE"/>
    <w:rsid w:val="2D9A3742"/>
    <w:rsid w:val="2DA8032A"/>
    <w:rsid w:val="2DAD740E"/>
    <w:rsid w:val="2DB35253"/>
    <w:rsid w:val="2DB53D1A"/>
    <w:rsid w:val="2DC17FE9"/>
    <w:rsid w:val="2DCE2D65"/>
    <w:rsid w:val="2DD4344A"/>
    <w:rsid w:val="2DD50223"/>
    <w:rsid w:val="2DD81171"/>
    <w:rsid w:val="2DEE74E7"/>
    <w:rsid w:val="2DF25093"/>
    <w:rsid w:val="2DF37DF3"/>
    <w:rsid w:val="2DF64B18"/>
    <w:rsid w:val="2DF8413F"/>
    <w:rsid w:val="2DFD70FB"/>
    <w:rsid w:val="2E0357BE"/>
    <w:rsid w:val="2E0A7E07"/>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961D0"/>
    <w:rsid w:val="2EC060FC"/>
    <w:rsid w:val="2EC55E8F"/>
    <w:rsid w:val="2EC63F27"/>
    <w:rsid w:val="2ED57B02"/>
    <w:rsid w:val="2EDC7563"/>
    <w:rsid w:val="2EE66E52"/>
    <w:rsid w:val="2EF575DD"/>
    <w:rsid w:val="2EF74FCB"/>
    <w:rsid w:val="2EF97527"/>
    <w:rsid w:val="2F082F05"/>
    <w:rsid w:val="2F0A6092"/>
    <w:rsid w:val="2F137A15"/>
    <w:rsid w:val="2F173ECE"/>
    <w:rsid w:val="2F183E45"/>
    <w:rsid w:val="2F207DBF"/>
    <w:rsid w:val="2F290A1A"/>
    <w:rsid w:val="2F2B0248"/>
    <w:rsid w:val="2F2C15FD"/>
    <w:rsid w:val="2F2C461C"/>
    <w:rsid w:val="2F2C62D1"/>
    <w:rsid w:val="2F3E1E86"/>
    <w:rsid w:val="2F3E766D"/>
    <w:rsid w:val="2F3F6A7C"/>
    <w:rsid w:val="2F583576"/>
    <w:rsid w:val="2F5963E3"/>
    <w:rsid w:val="2F623CD7"/>
    <w:rsid w:val="2F697663"/>
    <w:rsid w:val="2F6F6C79"/>
    <w:rsid w:val="2F71356F"/>
    <w:rsid w:val="2F822199"/>
    <w:rsid w:val="2F8438F7"/>
    <w:rsid w:val="2F916547"/>
    <w:rsid w:val="2F9C71E6"/>
    <w:rsid w:val="2FB045B4"/>
    <w:rsid w:val="2FB162B8"/>
    <w:rsid w:val="2FB553E2"/>
    <w:rsid w:val="2FBB564B"/>
    <w:rsid w:val="2FBD122E"/>
    <w:rsid w:val="2FBE0595"/>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629FA"/>
    <w:rsid w:val="307944E0"/>
    <w:rsid w:val="307B04ED"/>
    <w:rsid w:val="307F4253"/>
    <w:rsid w:val="30824AE4"/>
    <w:rsid w:val="3087418B"/>
    <w:rsid w:val="308E65CB"/>
    <w:rsid w:val="30917A9B"/>
    <w:rsid w:val="30930955"/>
    <w:rsid w:val="30937738"/>
    <w:rsid w:val="3095170F"/>
    <w:rsid w:val="309940BA"/>
    <w:rsid w:val="30A2534D"/>
    <w:rsid w:val="30B64C25"/>
    <w:rsid w:val="30BA62B6"/>
    <w:rsid w:val="30C02B8C"/>
    <w:rsid w:val="30C6739F"/>
    <w:rsid w:val="30D53DF9"/>
    <w:rsid w:val="30D84F5C"/>
    <w:rsid w:val="30DC4BD6"/>
    <w:rsid w:val="30DE7E00"/>
    <w:rsid w:val="30DF1FC9"/>
    <w:rsid w:val="30E509B6"/>
    <w:rsid w:val="30E87E58"/>
    <w:rsid w:val="30F04BD6"/>
    <w:rsid w:val="30F2771A"/>
    <w:rsid w:val="310103AC"/>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6337A4"/>
    <w:rsid w:val="31650B15"/>
    <w:rsid w:val="31692F62"/>
    <w:rsid w:val="316C7E94"/>
    <w:rsid w:val="316E46A1"/>
    <w:rsid w:val="31713A25"/>
    <w:rsid w:val="317B638F"/>
    <w:rsid w:val="31844348"/>
    <w:rsid w:val="31873D5E"/>
    <w:rsid w:val="31881AA2"/>
    <w:rsid w:val="31885F90"/>
    <w:rsid w:val="318B4D8B"/>
    <w:rsid w:val="31A41393"/>
    <w:rsid w:val="31A57F81"/>
    <w:rsid w:val="31A86B8F"/>
    <w:rsid w:val="31AA671D"/>
    <w:rsid w:val="31B41B4E"/>
    <w:rsid w:val="31B55448"/>
    <w:rsid w:val="31C0094C"/>
    <w:rsid w:val="31C649A9"/>
    <w:rsid w:val="31CA235E"/>
    <w:rsid w:val="31CB7FC7"/>
    <w:rsid w:val="31CF4261"/>
    <w:rsid w:val="31D360D7"/>
    <w:rsid w:val="31D84D84"/>
    <w:rsid w:val="31E048FE"/>
    <w:rsid w:val="31E85086"/>
    <w:rsid w:val="31E915E6"/>
    <w:rsid w:val="31F332D2"/>
    <w:rsid w:val="31FA1D5B"/>
    <w:rsid w:val="32017B40"/>
    <w:rsid w:val="32025955"/>
    <w:rsid w:val="32087B3A"/>
    <w:rsid w:val="32116CE4"/>
    <w:rsid w:val="32120EA2"/>
    <w:rsid w:val="32123B7A"/>
    <w:rsid w:val="321751E5"/>
    <w:rsid w:val="321861CB"/>
    <w:rsid w:val="32257D09"/>
    <w:rsid w:val="32266CF6"/>
    <w:rsid w:val="322B1F75"/>
    <w:rsid w:val="323A3B5C"/>
    <w:rsid w:val="323D3019"/>
    <w:rsid w:val="3244674E"/>
    <w:rsid w:val="32450968"/>
    <w:rsid w:val="324512CC"/>
    <w:rsid w:val="324860ED"/>
    <w:rsid w:val="324D24F8"/>
    <w:rsid w:val="32700291"/>
    <w:rsid w:val="32756594"/>
    <w:rsid w:val="32784CA3"/>
    <w:rsid w:val="327B0A94"/>
    <w:rsid w:val="3285484B"/>
    <w:rsid w:val="328B56E0"/>
    <w:rsid w:val="328C6A65"/>
    <w:rsid w:val="329041F9"/>
    <w:rsid w:val="32922FD7"/>
    <w:rsid w:val="32933F70"/>
    <w:rsid w:val="32B37D53"/>
    <w:rsid w:val="32B47213"/>
    <w:rsid w:val="32B67D8C"/>
    <w:rsid w:val="32BD342B"/>
    <w:rsid w:val="32BF0BF9"/>
    <w:rsid w:val="32C157F1"/>
    <w:rsid w:val="32C44AF7"/>
    <w:rsid w:val="32DD2FD6"/>
    <w:rsid w:val="32DE7DAA"/>
    <w:rsid w:val="32E73FA1"/>
    <w:rsid w:val="32E95112"/>
    <w:rsid w:val="32EA17B6"/>
    <w:rsid w:val="32EF2C1C"/>
    <w:rsid w:val="32FC080A"/>
    <w:rsid w:val="32FC69EA"/>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859F4"/>
    <w:rsid w:val="33991775"/>
    <w:rsid w:val="33A1408D"/>
    <w:rsid w:val="33A7394A"/>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75D4"/>
    <w:rsid w:val="34666401"/>
    <w:rsid w:val="34703684"/>
    <w:rsid w:val="34765AFD"/>
    <w:rsid w:val="347A63C7"/>
    <w:rsid w:val="347E2016"/>
    <w:rsid w:val="349044E5"/>
    <w:rsid w:val="34920BD2"/>
    <w:rsid w:val="349833B9"/>
    <w:rsid w:val="349C11FB"/>
    <w:rsid w:val="34A05180"/>
    <w:rsid w:val="34A72315"/>
    <w:rsid w:val="34AF3A4C"/>
    <w:rsid w:val="34B4045E"/>
    <w:rsid w:val="34B477A2"/>
    <w:rsid w:val="34C33186"/>
    <w:rsid w:val="34C5664E"/>
    <w:rsid w:val="34C66DE1"/>
    <w:rsid w:val="34CA51D8"/>
    <w:rsid w:val="34D82996"/>
    <w:rsid w:val="34EB52CF"/>
    <w:rsid w:val="34F72982"/>
    <w:rsid w:val="35052E5A"/>
    <w:rsid w:val="350539CE"/>
    <w:rsid w:val="350937A0"/>
    <w:rsid w:val="35152C10"/>
    <w:rsid w:val="35174818"/>
    <w:rsid w:val="351B60C1"/>
    <w:rsid w:val="35292322"/>
    <w:rsid w:val="352E6DCD"/>
    <w:rsid w:val="35311FD5"/>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857DF"/>
    <w:rsid w:val="367D3756"/>
    <w:rsid w:val="36933DCE"/>
    <w:rsid w:val="36A72B98"/>
    <w:rsid w:val="36A871B1"/>
    <w:rsid w:val="36A93FF3"/>
    <w:rsid w:val="36B42485"/>
    <w:rsid w:val="36B54261"/>
    <w:rsid w:val="36B67FC4"/>
    <w:rsid w:val="36B7786D"/>
    <w:rsid w:val="36B93E5D"/>
    <w:rsid w:val="36CD037D"/>
    <w:rsid w:val="36CE012C"/>
    <w:rsid w:val="36DB1057"/>
    <w:rsid w:val="36DB6FD7"/>
    <w:rsid w:val="36DE2EAD"/>
    <w:rsid w:val="36E913D2"/>
    <w:rsid w:val="36EB04DB"/>
    <w:rsid w:val="36EC07B6"/>
    <w:rsid w:val="36FC599C"/>
    <w:rsid w:val="37081C9A"/>
    <w:rsid w:val="37092B64"/>
    <w:rsid w:val="370B35B0"/>
    <w:rsid w:val="37146F89"/>
    <w:rsid w:val="3716692D"/>
    <w:rsid w:val="37197566"/>
    <w:rsid w:val="371A481C"/>
    <w:rsid w:val="37236820"/>
    <w:rsid w:val="372442DC"/>
    <w:rsid w:val="372E465A"/>
    <w:rsid w:val="37382537"/>
    <w:rsid w:val="37413CBB"/>
    <w:rsid w:val="37430055"/>
    <w:rsid w:val="374478F3"/>
    <w:rsid w:val="3750765A"/>
    <w:rsid w:val="37623834"/>
    <w:rsid w:val="376D31BE"/>
    <w:rsid w:val="37731700"/>
    <w:rsid w:val="37796A29"/>
    <w:rsid w:val="377A2FD1"/>
    <w:rsid w:val="378722CF"/>
    <w:rsid w:val="37972405"/>
    <w:rsid w:val="37AA0AA6"/>
    <w:rsid w:val="37AB63D8"/>
    <w:rsid w:val="37BB71C5"/>
    <w:rsid w:val="37C969DF"/>
    <w:rsid w:val="37CE6D63"/>
    <w:rsid w:val="37D00E5F"/>
    <w:rsid w:val="37D83379"/>
    <w:rsid w:val="37F1004D"/>
    <w:rsid w:val="37FC0618"/>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D4EFC"/>
    <w:rsid w:val="3864117E"/>
    <w:rsid w:val="387068FD"/>
    <w:rsid w:val="38770CD9"/>
    <w:rsid w:val="387B06B1"/>
    <w:rsid w:val="388915E4"/>
    <w:rsid w:val="38917D99"/>
    <w:rsid w:val="38937A98"/>
    <w:rsid w:val="38946D9D"/>
    <w:rsid w:val="38957469"/>
    <w:rsid w:val="389746B2"/>
    <w:rsid w:val="389F4126"/>
    <w:rsid w:val="38BE344B"/>
    <w:rsid w:val="38F3347A"/>
    <w:rsid w:val="38FA5F28"/>
    <w:rsid w:val="390E1FDB"/>
    <w:rsid w:val="391856C6"/>
    <w:rsid w:val="39261AF9"/>
    <w:rsid w:val="392D1312"/>
    <w:rsid w:val="393F316E"/>
    <w:rsid w:val="39575F7A"/>
    <w:rsid w:val="395C2867"/>
    <w:rsid w:val="395F5EE2"/>
    <w:rsid w:val="396D32D7"/>
    <w:rsid w:val="396E15FA"/>
    <w:rsid w:val="39741792"/>
    <w:rsid w:val="39775926"/>
    <w:rsid w:val="397D1396"/>
    <w:rsid w:val="3981746A"/>
    <w:rsid w:val="39850838"/>
    <w:rsid w:val="39977CA8"/>
    <w:rsid w:val="39A32391"/>
    <w:rsid w:val="39B53EA1"/>
    <w:rsid w:val="39BB4796"/>
    <w:rsid w:val="39C25395"/>
    <w:rsid w:val="39CF60D1"/>
    <w:rsid w:val="39D47D57"/>
    <w:rsid w:val="39D82208"/>
    <w:rsid w:val="39DF61A1"/>
    <w:rsid w:val="39E46B44"/>
    <w:rsid w:val="39F1730F"/>
    <w:rsid w:val="39F67238"/>
    <w:rsid w:val="39FC3142"/>
    <w:rsid w:val="39FE0D49"/>
    <w:rsid w:val="39FF5F00"/>
    <w:rsid w:val="3A0049E4"/>
    <w:rsid w:val="3A0143B6"/>
    <w:rsid w:val="3A0A2032"/>
    <w:rsid w:val="3A13646F"/>
    <w:rsid w:val="3A1F4E17"/>
    <w:rsid w:val="3A276787"/>
    <w:rsid w:val="3A2914BC"/>
    <w:rsid w:val="3A3342CA"/>
    <w:rsid w:val="3A376046"/>
    <w:rsid w:val="3A3A7E56"/>
    <w:rsid w:val="3A4D662F"/>
    <w:rsid w:val="3A5122A5"/>
    <w:rsid w:val="3A5B1E6D"/>
    <w:rsid w:val="3A5C2C1D"/>
    <w:rsid w:val="3A5D625B"/>
    <w:rsid w:val="3A634EF4"/>
    <w:rsid w:val="3A6E5BD9"/>
    <w:rsid w:val="3A6F3E73"/>
    <w:rsid w:val="3A793C26"/>
    <w:rsid w:val="3A8268AE"/>
    <w:rsid w:val="3A8337E1"/>
    <w:rsid w:val="3A97324F"/>
    <w:rsid w:val="3A9A0367"/>
    <w:rsid w:val="3A9C27B1"/>
    <w:rsid w:val="3AA05A9B"/>
    <w:rsid w:val="3AA62EC7"/>
    <w:rsid w:val="3AAA71F2"/>
    <w:rsid w:val="3AB705DC"/>
    <w:rsid w:val="3AB7641D"/>
    <w:rsid w:val="3ABA1C58"/>
    <w:rsid w:val="3AC65EDE"/>
    <w:rsid w:val="3AD54094"/>
    <w:rsid w:val="3AD63AE5"/>
    <w:rsid w:val="3AD748F8"/>
    <w:rsid w:val="3AD86CB5"/>
    <w:rsid w:val="3ADC0A6D"/>
    <w:rsid w:val="3ADE2A58"/>
    <w:rsid w:val="3ADF247F"/>
    <w:rsid w:val="3AE67AAF"/>
    <w:rsid w:val="3AE85039"/>
    <w:rsid w:val="3AEF1382"/>
    <w:rsid w:val="3AF23EB4"/>
    <w:rsid w:val="3AF80CD5"/>
    <w:rsid w:val="3B097412"/>
    <w:rsid w:val="3B0B6E12"/>
    <w:rsid w:val="3B180BC8"/>
    <w:rsid w:val="3B1F2E92"/>
    <w:rsid w:val="3B1F5346"/>
    <w:rsid w:val="3B213E5A"/>
    <w:rsid w:val="3B350FB0"/>
    <w:rsid w:val="3B3918CD"/>
    <w:rsid w:val="3B39669F"/>
    <w:rsid w:val="3B3A2D8A"/>
    <w:rsid w:val="3B3B4DE6"/>
    <w:rsid w:val="3B3D5762"/>
    <w:rsid w:val="3B450639"/>
    <w:rsid w:val="3B4B36D4"/>
    <w:rsid w:val="3B4D4ECE"/>
    <w:rsid w:val="3B4E55C1"/>
    <w:rsid w:val="3B530269"/>
    <w:rsid w:val="3B537180"/>
    <w:rsid w:val="3B5E1708"/>
    <w:rsid w:val="3B613725"/>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4317C"/>
    <w:rsid w:val="3BB6466A"/>
    <w:rsid w:val="3BBB1B7D"/>
    <w:rsid w:val="3BC0191E"/>
    <w:rsid w:val="3BC43318"/>
    <w:rsid w:val="3BC7762E"/>
    <w:rsid w:val="3BCA0329"/>
    <w:rsid w:val="3BCE400B"/>
    <w:rsid w:val="3BD16C5A"/>
    <w:rsid w:val="3BD666CE"/>
    <w:rsid w:val="3BDF353E"/>
    <w:rsid w:val="3BE416B1"/>
    <w:rsid w:val="3BEE695B"/>
    <w:rsid w:val="3BF6192B"/>
    <w:rsid w:val="3BF90E04"/>
    <w:rsid w:val="3BFC24B1"/>
    <w:rsid w:val="3C026B7E"/>
    <w:rsid w:val="3C037D67"/>
    <w:rsid w:val="3C0B37FF"/>
    <w:rsid w:val="3C3D1818"/>
    <w:rsid w:val="3C5061C7"/>
    <w:rsid w:val="3C5B694C"/>
    <w:rsid w:val="3C5E18FC"/>
    <w:rsid w:val="3C5F0E5A"/>
    <w:rsid w:val="3C620954"/>
    <w:rsid w:val="3C635990"/>
    <w:rsid w:val="3C646598"/>
    <w:rsid w:val="3C726B87"/>
    <w:rsid w:val="3C7654FD"/>
    <w:rsid w:val="3C8105DC"/>
    <w:rsid w:val="3C8707F4"/>
    <w:rsid w:val="3C8E6ACF"/>
    <w:rsid w:val="3C8F63E5"/>
    <w:rsid w:val="3C9B0FC1"/>
    <w:rsid w:val="3CAA67F9"/>
    <w:rsid w:val="3CB42C70"/>
    <w:rsid w:val="3CB44305"/>
    <w:rsid w:val="3CBF5CB5"/>
    <w:rsid w:val="3CC12AC6"/>
    <w:rsid w:val="3CD27DA4"/>
    <w:rsid w:val="3CD84477"/>
    <w:rsid w:val="3CD85019"/>
    <w:rsid w:val="3CE33AA5"/>
    <w:rsid w:val="3D03070D"/>
    <w:rsid w:val="3D095557"/>
    <w:rsid w:val="3D096EE5"/>
    <w:rsid w:val="3D0B622A"/>
    <w:rsid w:val="3D2252CB"/>
    <w:rsid w:val="3D2A0D70"/>
    <w:rsid w:val="3D2A6C6D"/>
    <w:rsid w:val="3D2F62CF"/>
    <w:rsid w:val="3D37032A"/>
    <w:rsid w:val="3D384903"/>
    <w:rsid w:val="3D5244C5"/>
    <w:rsid w:val="3D544734"/>
    <w:rsid w:val="3D5603A4"/>
    <w:rsid w:val="3D5D7043"/>
    <w:rsid w:val="3D615DFA"/>
    <w:rsid w:val="3D660298"/>
    <w:rsid w:val="3D6A5AFE"/>
    <w:rsid w:val="3D72668D"/>
    <w:rsid w:val="3D794F06"/>
    <w:rsid w:val="3D7B7F3C"/>
    <w:rsid w:val="3D7F6F56"/>
    <w:rsid w:val="3D821D2B"/>
    <w:rsid w:val="3D8335D4"/>
    <w:rsid w:val="3D836E21"/>
    <w:rsid w:val="3D8A0DC9"/>
    <w:rsid w:val="3D9439DA"/>
    <w:rsid w:val="3DA21882"/>
    <w:rsid w:val="3DA5148E"/>
    <w:rsid w:val="3DA72EE8"/>
    <w:rsid w:val="3DC502AB"/>
    <w:rsid w:val="3DCB4DF5"/>
    <w:rsid w:val="3DCC3DBA"/>
    <w:rsid w:val="3DCC6909"/>
    <w:rsid w:val="3DD23404"/>
    <w:rsid w:val="3DD74E98"/>
    <w:rsid w:val="3DDB46D3"/>
    <w:rsid w:val="3DE247D8"/>
    <w:rsid w:val="3DE947AE"/>
    <w:rsid w:val="3DEA371D"/>
    <w:rsid w:val="3DEB10E3"/>
    <w:rsid w:val="3DED3D5D"/>
    <w:rsid w:val="3DEF74C3"/>
    <w:rsid w:val="3DF15503"/>
    <w:rsid w:val="3DF82B27"/>
    <w:rsid w:val="3E0C09AF"/>
    <w:rsid w:val="3E275A52"/>
    <w:rsid w:val="3E2C0333"/>
    <w:rsid w:val="3E3A425C"/>
    <w:rsid w:val="3E3F7AEF"/>
    <w:rsid w:val="3E495E72"/>
    <w:rsid w:val="3E4A589B"/>
    <w:rsid w:val="3E4D564A"/>
    <w:rsid w:val="3E5A402D"/>
    <w:rsid w:val="3E642967"/>
    <w:rsid w:val="3E64612D"/>
    <w:rsid w:val="3E6713DE"/>
    <w:rsid w:val="3E6B0E94"/>
    <w:rsid w:val="3E6D7B84"/>
    <w:rsid w:val="3E6E592C"/>
    <w:rsid w:val="3E8015D5"/>
    <w:rsid w:val="3E8C49FF"/>
    <w:rsid w:val="3E95018E"/>
    <w:rsid w:val="3E964160"/>
    <w:rsid w:val="3E964D9B"/>
    <w:rsid w:val="3EA46FF9"/>
    <w:rsid w:val="3EAC39D4"/>
    <w:rsid w:val="3EB770F1"/>
    <w:rsid w:val="3EBB576E"/>
    <w:rsid w:val="3EBF5A51"/>
    <w:rsid w:val="3EC10D3E"/>
    <w:rsid w:val="3EC22DA5"/>
    <w:rsid w:val="3EC35E0E"/>
    <w:rsid w:val="3ECB352A"/>
    <w:rsid w:val="3ED026C1"/>
    <w:rsid w:val="3ED218A0"/>
    <w:rsid w:val="3EDF3F5A"/>
    <w:rsid w:val="3EEE6BAA"/>
    <w:rsid w:val="3EF613C0"/>
    <w:rsid w:val="3EF64A99"/>
    <w:rsid w:val="3EF95268"/>
    <w:rsid w:val="3EFE4A54"/>
    <w:rsid w:val="3F013815"/>
    <w:rsid w:val="3F046A6F"/>
    <w:rsid w:val="3F083199"/>
    <w:rsid w:val="3F0A46E9"/>
    <w:rsid w:val="3F245BC3"/>
    <w:rsid w:val="3F254663"/>
    <w:rsid w:val="3F25471A"/>
    <w:rsid w:val="3F26340F"/>
    <w:rsid w:val="3F26771B"/>
    <w:rsid w:val="3F2E17FC"/>
    <w:rsid w:val="3F315CA5"/>
    <w:rsid w:val="3F34194D"/>
    <w:rsid w:val="3F4F19AF"/>
    <w:rsid w:val="3F5A65B9"/>
    <w:rsid w:val="3F5B3ABC"/>
    <w:rsid w:val="3F654EE4"/>
    <w:rsid w:val="3F655CF0"/>
    <w:rsid w:val="3F672747"/>
    <w:rsid w:val="3F6D06DB"/>
    <w:rsid w:val="3F6E3744"/>
    <w:rsid w:val="3F773C6D"/>
    <w:rsid w:val="3F7861D1"/>
    <w:rsid w:val="3F8725BC"/>
    <w:rsid w:val="3F9169C1"/>
    <w:rsid w:val="3FA17552"/>
    <w:rsid w:val="3FA77042"/>
    <w:rsid w:val="3FAA09B4"/>
    <w:rsid w:val="3FAA1F65"/>
    <w:rsid w:val="3FBC0878"/>
    <w:rsid w:val="3FBD530E"/>
    <w:rsid w:val="3FCD091D"/>
    <w:rsid w:val="3FD22CEB"/>
    <w:rsid w:val="3FD267B2"/>
    <w:rsid w:val="3FE6358E"/>
    <w:rsid w:val="3FEB25EC"/>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F0D7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4175C0"/>
    <w:rsid w:val="414204A1"/>
    <w:rsid w:val="414469FF"/>
    <w:rsid w:val="414A49B9"/>
    <w:rsid w:val="41523E4B"/>
    <w:rsid w:val="415343B9"/>
    <w:rsid w:val="41634377"/>
    <w:rsid w:val="416522D0"/>
    <w:rsid w:val="416F667A"/>
    <w:rsid w:val="417466EB"/>
    <w:rsid w:val="41866782"/>
    <w:rsid w:val="418B2F4D"/>
    <w:rsid w:val="41904CE4"/>
    <w:rsid w:val="419725C2"/>
    <w:rsid w:val="41A07137"/>
    <w:rsid w:val="41A252EF"/>
    <w:rsid w:val="41AF0AB6"/>
    <w:rsid w:val="41B07DEE"/>
    <w:rsid w:val="41BA4502"/>
    <w:rsid w:val="41BB3BE6"/>
    <w:rsid w:val="41BF0FC2"/>
    <w:rsid w:val="41BF7187"/>
    <w:rsid w:val="41C7328E"/>
    <w:rsid w:val="41CA065A"/>
    <w:rsid w:val="41D24499"/>
    <w:rsid w:val="41D6650B"/>
    <w:rsid w:val="41E008B2"/>
    <w:rsid w:val="41E11EC6"/>
    <w:rsid w:val="41E2108F"/>
    <w:rsid w:val="41E621F2"/>
    <w:rsid w:val="41F2544D"/>
    <w:rsid w:val="41F33723"/>
    <w:rsid w:val="42052BE7"/>
    <w:rsid w:val="42152FB1"/>
    <w:rsid w:val="421D27C6"/>
    <w:rsid w:val="422004A7"/>
    <w:rsid w:val="422E0991"/>
    <w:rsid w:val="422E5BA7"/>
    <w:rsid w:val="42342D08"/>
    <w:rsid w:val="42352FBC"/>
    <w:rsid w:val="423C7488"/>
    <w:rsid w:val="424250AF"/>
    <w:rsid w:val="42444686"/>
    <w:rsid w:val="425062B5"/>
    <w:rsid w:val="42591C79"/>
    <w:rsid w:val="425B190B"/>
    <w:rsid w:val="425E13F0"/>
    <w:rsid w:val="42656BF3"/>
    <w:rsid w:val="426F5A74"/>
    <w:rsid w:val="42762F7B"/>
    <w:rsid w:val="42765C76"/>
    <w:rsid w:val="42791D17"/>
    <w:rsid w:val="427D3490"/>
    <w:rsid w:val="427F65BC"/>
    <w:rsid w:val="4282140A"/>
    <w:rsid w:val="42882501"/>
    <w:rsid w:val="428A78C4"/>
    <w:rsid w:val="42945691"/>
    <w:rsid w:val="42B20ABC"/>
    <w:rsid w:val="42B41269"/>
    <w:rsid w:val="42B6376D"/>
    <w:rsid w:val="42B97E60"/>
    <w:rsid w:val="42D75C1D"/>
    <w:rsid w:val="42DB482E"/>
    <w:rsid w:val="42E15822"/>
    <w:rsid w:val="42E87B67"/>
    <w:rsid w:val="42E976BE"/>
    <w:rsid w:val="42ED5647"/>
    <w:rsid w:val="42F33E3F"/>
    <w:rsid w:val="42FE143D"/>
    <w:rsid w:val="4301510D"/>
    <w:rsid w:val="430A6648"/>
    <w:rsid w:val="430B3725"/>
    <w:rsid w:val="430C0A67"/>
    <w:rsid w:val="431B678F"/>
    <w:rsid w:val="432D5E88"/>
    <w:rsid w:val="433568FA"/>
    <w:rsid w:val="43366D86"/>
    <w:rsid w:val="4338209D"/>
    <w:rsid w:val="433A297D"/>
    <w:rsid w:val="43534626"/>
    <w:rsid w:val="43565457"/>
    <w:rsid w:val="435B33E6"/>
    <w:rsid w:val="435E37AC"/>
    <w:rsid w:val="436E145B"/>
    <w:rsid w:val="43720F65"/>
    <w:rsid w:val="43756AD3"/>
    <w:rsid w:val="437B4688"/>
    <w:rsid w:val="437C54AC"/>
    <w:rsid w:val="43852480"/>
    <w:rsid w:val="43871508"/>
    <w:rsid w:val="438A4336"/>
    <w:rsid w:val="439D6395"/>
    <w:rsid w:val="43A17D02"/>
    <w:rsid w:val="43AF3D36"/>
    <w:rsid w:val="43BD1EA5"/>
    <w:rsid w:val="43CD2F77"/>
    <w:rsid w:val="43D14D45"/>
    <w:rsid w:val="43D61947"/>
    <w:rsid w:val="43D97CE3"/>
    <w:rsid w:val="43E56252"/>
    <w:rsid w:val="43EA6859"/>
    <w:rsid w:val="43F97649"/>
    <w:rsid w:val="43FE7D50"/>
    <w:rsid w:val="44030D6D"/>
    <w:rsid w:val="4408216C"/>
    <w:rsid w:val="44116F52"/>
    <w:rsid w:val="441642DA"/>
    <w:rsid w:val="441E1781"/>
    <w:rsid w:val="4422384F"/>
    <w:rsid w:val="442F2730"/>
    <w:rsid w:val="443F521B"/>
    <w:rsid w:val="44427484"/>
    <w:rsid w:val="444B2A8C"/>
    <w:rsid w:val="44516146"/>
    <w:rsid w:val="445C13B9"/>
    <w:rsid w:val="446C0EA9"/>
    <w:rsid w:val="446E1BDA"/>
    <w:rsid w:val="44754893"/>
    <w:rsid w:val="447847FC"/>
    <w:rsid w:val="447D5911"/>
    <w:rsid w:val="44852E6D"/>
    <w:rsid w:val="44860BB6"/>
    <w:rsid w:val="448816B6"/>
    <w:rsid w:val="44912CC3"/>
    <w:rsid w:val="449319E5"/>
    <w:rsid w:val="449454D0"/>
    <w:rsid w:val="449E2FB2"/>
    <w:rsid w:val="44A34A8B"/>
    <w:rsid w:val="44B05C61"/>
    <w:rsid w:val="44B05DCD"/>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4367E9"/>
    <w:rsid w:val="455F3602"/>
    <w:rsid w:val="45793B89"/>
    <w:rsid w:val="457F5DFA"/>
    <w:rsid w:val="45823EF1"/>
    <w:rsid w:val="45833A04"/>
    <w:rsid w:val="45840CA9"/>
    <w:rsid w:val="45892961"/>
    <w:rsid w:val="459B0BF5"/>
    <w:rsid w:val="459C3601"/>
    <w:rsid w:val="45A078D0"/>
    <w:rsid w:val="45A11DC8"/>
    <w:rsid w:val="45A15B59"/>
    <w:rsid w:val="45B77EAD"/>
    <w:rsid w:val="45BC03D9"/>
    <w:rsid w:val="45C9418D"/>
    <w:rsid w:val="45D34CA8"/>
    <w:rsid w:val="45D61F5C"/>
    <w:rsid w:val="45EA376E"/>
    <w:rsid w:val="45EB4B7D"/>
    <w:rsid w:val="45ED130D"/>
    <w:rsid w:val="45ED1F21"/>
    <w:rsid w:val="45EF30E3"/>
    <w:rsid w:val="45F6196B"/>
    <w:rsid w:val="45F8123A"/>
    <w:rsid w:val="45FE6AF6"/>
    <w:rsid w:val="46170F64"/>
    <w:rsid w:val="462538C3"/>
    <w:rsid w:val="46283EBC"/>
    <w:rsid w:val="462F1795"/>
    <w:rsid w:val="46325FE0"/>
    <w:rsid w:val="463D5F4E"/>
    <w:rsid w:val="46494538"/>
    <w:rsid w:val="466600B0"/>
    <w:rsid w:val="466E7893"/>
    <w:rsid w:val="467936D2"/>
    <w:rsid w:val="46820676"/>
    <w:rsid w:val="46873303"/>
    <w:rsid w:val="46891A23"/>
    <w:rsid w:val="468F17FD"/>
    <w:rsid w:val="468F56BB"/>
    <w:rsid w:val="469417EE"/>
    <w:rsid w:val="46951EF7"/>
    <w:rsid w:val="46954D1C"/>
    <w:rsid w:val="46961019"/>
    <w:rsid w:val="46A4013A"/>
    <w:rsid w:val="46A510D9"/>
    <w:rsid w:val="46A875A0"/>
    <w:rsid w:val="46AE7BC2"/>
    <w:rsid w:val="46B0375A"/>
    <w:rsid w:val="46B1501D"/>
    <w:rsid w:val="46B25570"/>
    <w:rsid w:val="46B612CB"/>
    <w:rsid w:val="46C73D6E"/>
    <w:rsid w:val="46CC63FF"/>
    <w:rsid w:val="46DC01A4"/>
    <w:rsid w:val="46E14B0F"/>
    <w:rsid w:val="46E232D8"/>
    <w:rsid w:val="46E67222"/>
    <w:rsid w:val="46FA20C5"/>
    <w:rsid w:val="470579A9"/>
    <w:rsid w:val="470F7037"/>
    <w:rsid w:val="471401E1"/>
    <w:rsid w:val="472130DC"/>
    <w:rsid w:val="472B7711"/>
    <w:rsid w:val="473707E0"/>
    <w:rsid w:val="47385B1F"/>
    <w:rsid w:val="47402977"/>
    <w:rsid w:val="474A3ED0"/>
    <w:rsid w:val="474E2B60"/>
    <w:rsid w:val="474F2EB0"/>
    <w:rsid w:val="475C29E1"/>
    <w:rsid w:val="47633155"/>
    <w:rsid w:val="47747010"/>
    <w:rsid w:val="47784A11"/>
    <w:rsid w:val="47831305"/>
    <w:rsid w:val="47843193"/>
    <w:rsid w:val="478C047B"/>
    <w:rsid w:val="478D3050"/>
    <w:rsid w:val="478D7135"/>
    <w:rsid w:val="4797152B"/>
    <w:rsid w:val="479846DE"/>
    <w:rsid w:val="479B074E"/>
    <w:rsid w:val="47A42B17"/>
    <w:rsid w:val="47A67150"/>
    <w:rsid w:val="47A863DE"/>
    <w:rsid w:val="47B8046A"/>
    <w:rsid w:val="47B81186"/>
    <w:rsid w:val="47C12DC5"/>
    <w:rsid w:val="47C30919"/>
    <w:rsid w:val="47C43AF6"/>
    <w:rsid w:val="47C51170"/>
    <w:rsid w:val="47D03A31"/>
    <w:rsid w:val="47D40016"/>
    <w:rsid w:val="47D75B03"/>
    <w:rsid w:val="47DB5DDC"/>
    <w:rsid w:val="47DE1933"/>
    <w:rsid w:val="47E411B2"/>
    <w:rsid w:val="47E60FD0"/>
    <w:rsid w:val="47F50230"/>
    <w:rsid w:val="48022AD0"/>
    <w:rsid w:val="480B18DA"/>
    <w:rsid w:val="48137D1F"/>
    <w:rsid w:val="48163C42"/>
    <w:rsid w:val="481D0D6A"/>
    <w:rsid w:val="48295E9F"/>
    <w:rsid w:val="483364B6"/>
    <w:rsid w:val="483F6AAC"/>
    <w:rsid w:val="48403765"/>
    <w:rsid w:val="48482D5A"/>
    <w:rsid w:val="484C306D"/>
    <w:rsid w:val="485119A2"/>
    <w:rsid w:val="485573E8"/>
    <w:rsid w:val="48612454"/>
    <w:rsid w:val="4867618C"/>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6258"/>
    <w:rsid w:val="48EE32F6"/>
    <w:rsid w:val="48F07E5E"/>
    <w:rsid w:val="48F30C44"/>
    <w:rsid w:val="48F565CD"/>
    <w:rsid w:val="48F872FC"/>
    <w:rsid w:val="48FD0F37"/>
    <w:rsid w:val="49015154"/>
    <w:rsid w:val="49033ECD"/>
    <w:rsid w:val="49057880"/>
    <w:rsid w:val="490E68F3"/>
    <w:rsid w:val="49196DB6"/>
    <w:rsid w:val="491B4227"/>
    <w:rsid w:val="4933190E"/>
    <w:rsid w:val="49333F4C"/>
    <w:rsid w:val="493647EE"/>
    <w:rsid w:val="493F0871"/>
    <w:rsid w:val="49472D4F"/>
    <w:rsid w:val="494F1C22"/>
    <w:rsid w:val="496160B0"/>
    <w:rsid w:val="496376E9"/>
    <w:rsid w:val="49692BCE"/>
    <w:rsid w:val="496973E5"/>
    <w:rsid w:val="49732564"/>
    <w:rsid w:val="49774BE0"/>
    <w:rsid w:val="498A5F70"/>
    <w:rsid w:val="498B11C9"/>
    <w:rsid w:val="498C530E"/>
    <w:rsid w:val="498D64CB"/>
    <w:rsid w:val="4997050C"/>
    <w:rsid w:val="49984053"/>
    <w:rsid w:val="49AA0A84"/>
    <w:rsid w:val="49B31A95"/>
    <w:rsid w:val="49B94286"/>
    <w:rsid w:val="49B94D08"/>
    <w:rsid w:val="49BB7510"/>
    <w:rsid w:val="49BE530D"/>
    <w:rsid w:val="49BF6D27"/>
    <w:rsid w:val="49C664C2"/>
    <w:rsid w:val="49C8600F"/>
    <w:rsid w:val="49CC653A"/>
    <w:rsid w:val="49D07892"/>
    <w:rsid w:val="49D10AD4"/>
    <w:rsid w:val="49D41B5D"/>
    <w:rsid w:val="49D84506"/>
    <w:rsid w:val="49E65D4E"/>
    <w:rsid w:val="49E665C2"/>
    <w:rsid w:val="49EE5020"/>
    <w:rsid w:val="49FE714A"/>
    <w:rsid w:val="4A071BAB"/>
    <w:rsid w:val="4A0D6EFE"/>
    <w:rsid w:val="4A110397"/>
    <w:rsid w:val="4A1A3009"/>
    <w:rsid w:val="4A1D18F5"/>
    <w:rsid w:val="4A426D95"/>
    <w:rsid w:val="4A446E7B"/>
    <w:rsid w:val="4A465CB3"/>
    <w:rsid w:val="4A4A4BCA"/>
    <w:rsid w:val="4A4C4F79"/>
    <w:rsid w:val="4A4C5D2F"/>
    <w:rsid w:val="4A4E7AF4"/>
    <w:rsid w:val="4A510E8C"/>
    <w:rsid w:val="4A5179C8"/>
    <w:rsid w:val="4A65478C"/>
    <w:rsid w:val="4A6803EB"/>
    <w:rsid w:val="4A6E01B7"/>
    <w:rsid w:val="4A6E3943"/>
    <w:rsid w:val="4A710A01"/>
    <w:rsid w:val="4A745F30"/>
    <w:rsid w:val="4A79663A"/>
    <w:rsid w:val="4A7D18D6"/>
    <w:rsid w:val="4AAA5A49"/>
    <w:rsid w:val="4AB463EE"/>
    <w:rsid w:val="4AC23582"/>
    <w:rsid w:val="4ACB2E69"/>
    <w:rsid w:val="4ACD28E1"/>
    <w:rsid w:val="4ACD5A72"/>
    <w:rsid w:val="4ADB0CC7"/>
    <w:rsid w:val="4ADF411D"/>
    <w:rsid w:val="4AE045CD"/>
    <w:rsid w:val="4AE14B87"/>
    <w:rsid w:val="4AE24FD3"/>
    <w:rsid w:val="4AF176BB"/>
    <w:rsid w:val="4AF34DD4"/>
    <w:rsid w:val="4AF539FB"/>
    <w:rsid w:val="4B083231"/>
    <w:rsid w:val="4B0B495E"/>
    <w:rsid w:val="4B0D6E25"/>
    <w:rsid w:val="4B16547A"/>
    <w:rsid w:val="4B2403BD"/>
    <w:rsid w:val="4B24683E"/>
    <w:rsid w:val="4B2468A5"/>
    <w:rsid w:val="4B336958"/>
    <w:rsid w:val="4B4B7DA6"/>
    <w:rsid w:val="4B4F238E"/>
    <w:rsid w:val="4B4F460D"/>
    <w:rsid w:val="4B6C45EE"/>
    <w:rsid w:val="4B8268F5"/>
    <w:rsid w:val="4B927B01"/>
    <w:rsid w:val="4B9E3D3D"/>
    <w:rsid w:val="4BA855FA"/>
    <w:rsid w:val="4BAA0BAE"/>
    <w:rsid w:val="4BAC1607"/>
    <w:rsid w:val="4BBD413B"/>
    <w:rsid w:val="4BC42199"/>
    <w:rsid w:val="4BC44C17"/>
    <w:rsid w:val="4BC6613B"/>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2D4C46"/>
    <w:rsid w:val="4C3065B7"/>
    <w:rsid w:val="4C3E3676"/>
    <w:rsid w:val="4C465A0C"/>
    <w:rsid w:val="4C547EF9"/>
    <w:rsid w:val="4C575CA7"/>
    <w:rsid w:val="4C5823A9"/>
    <w:rsid w:val="4C653979"/>
    <w:rsid w:val="4C6C1388"/>
    <w:rsid w:val="4C6D42AA"/>
    <w:rsid w:val="4C714C25"/>
    <w:rsid w:val="4C754179"/>
    <w:rsid w:val="4C77467C"/>
    <w:rsid w:val="4C7D6450"/>
    <w:rsid w:val="4C7F0120"/>
    <w:rsid w:val="4C842074"/>
    <w:rsid w:val="4C8679A1"/>
    <w:rsid w:val="4C8F3BC4"/>
    <w:rsid w:val="4C965048"/>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E55FF9"/>
    <w:rsid w:val="4CE72816"/>
    <w:rsid w:val="4D002FD0"/>
    <w:rsid w:val="4D054EB0"/>
    <w:rsid w:val="4D0827C3"/>
    <w:rsid w:val="4D0E1614"/>
    <w:rsid w:val="4D1563CC"/>
    <w:rsid w:val="4D1941A9"/>
    <w:rsid w:val="4D1E709E"/>
    <w:rsid w:val="4D2420BE"/>
    <w:rsid w:val="4D2B7532"/>
    <w:rsid w:val="4D2E4306"/>
    <w:rsid w:val="4D33678A"/>
    <w:rsid w:val="4D376ADC"/>
    <w:rsid w:val="4D3F42D5"/>
    <w:rsid w:val="4D430E26"/>
    <w:rsid w:val="4D461841"/>
    <w:rsid w:val="4D467503"/>
    <w:rsid w:val="4D58010A"/>
    <w:rsid w:val="4D582E1B"/>
    <w:rsid w:val="4D585447"/>
    <w:rsid w:val="4D5B67DE"/>
    <w:rsid w:val="4D5D519B"/>
    <w:rsid w:val="4D691FB6"/>
    <w:rsid w:val="4D712C63"/>
    <w:rsid w:val="4D78560B"/>
    <w:rsid w:val="4D7A6D8D"/>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F26622"/>
    <w:rsid w:val="4DF520E6"/>
    <w:rsid w:val="4DF84039"/>
    <w:rsid w:val="4E004A5D"/>
    <w:rsid w:val="4E0E1235"/>
    <w:rsid w:val="4E10570B"/>
    <w:rsid w:val="4E133BFE"/>
    <w:rsid w:val="4E1C34CC"/>
    <w:rsid w:val="4E210B6D"/>
    <w:rsid w:val="4E3366C4"/>
    <w:rsid w:val="4E3F5CA4"/>
    <w:rsid w:val="4E4278B0"/>
    <w:rsid w:val="4E45130D"/>
    <w:rsid w:val="4E4A1CE1"/>
    <w:rsid w:val="4E4A5AA0"/>
    <w:rsid w:val="4E4C1F11"/>
    <w:rsid w:val="4E4E7D23"/>
    <w:rsid w:val="4E5C4EFE"/>
    <w:rsid w:val="4E697BE1"/>
    <w:rsid w:val="4E715BD5"/>
    <w:rsid w:val="4E7D63B1"/>
    <w:rsid w:val="4E8526C9"/>
    <w:rsid w:val="4E8D712C"/>
    <w:rsid w:val="4E8F205B"/>
    <w:rsid w:val="4E96544B"/>
    <w:rsid w:val="4E97019D"/>
    <w:rsid w:val="4E9D33AB"/>
    <w:rsid w:val="4EB3382B"/>
    <w:rsid w:val="4EB53C6A"/>
    <w:rsid w:val="4EB901CB"/>
    <w:rsid w:val="4EC31C04"/>
    <w:rsid w:val="4ED677AD"/>
    <w:rsid w:val="4EDF2738"/>
    <w:rsid w:val="4EDF28B4"/>
    <w:rsid w:val="4EEF3824"/>
    <w:rsid w:val="4EF27E9F"/>
    <w:rsid w:val="4EF74CDE"/>
    <w:rsid w:val="4F00582B"/>
    <w:rsid w:val="4F0662E5"/>
    <w:rsid w:val="4F0838C5"/>
    <w:rsid w:val="4F0B5144"/>
    <w:rsid w:val="4F1A5354"/>
    <w:rsid w:val="4F275AB7"/>
    <w:rsid w:val="4F28411C"/>
    <w:rsid w:val="4F2931DD"/>
    <w:rsid w:val="4F404174"/>
    <w:rsid w:val="4F44207B"/>
    <w:rsid w:val="4F483345"/>
    <w:rsid w:val="4F4E3F1B"/>
    <w:rsid w:val="4F512E44"/>
    <w:rsid w:val="4F5154B5"/>
    <w:rsid w:val="4F533C44"/>
    <w:rsid w:val="4F573248"/>
    <w:rsid w:val="4F5F3435"/>
    <w:rsid w:val="4F6D6534"/>
    <w:rsid w:val="4F7C48DE"/>
    <w:rsid w:val="4F7D1B1E"/>
    <w:rsid w:val="4F8B1CDF"/>
    <w:rsid w:val="4F8B601D"/>
    <w:rsid w:val="4F920188"/>
    <w:rsid w:val="4FA02333"/>
    <w:rsid w:val="4FA6179D"/>
    <w:rsid w:val="4FAB178A"/>
    <w:rsid w:val="4FAB679C"/>
    <w:rsid w:val="4FAE73F3"/>
    <w:rsid w:val="4FB13B08"/>
    <w:rsid w:val="4FB3504D"/>
    <w:rsid w:val="4FB803D2"/>
    <w:rsid w:val="4FBA6DAB"/>
    <w:rsid w:val="4FBD0E86"/>
    <w:rsid w:val="4FBF66B6"/>
    <w:rsid w:val="4FC3161C"/>
    <w:rsid w:val="4FC37444"/>
    <w:rsid w:val="4FDA7B19"/>
    <w:rsid w:val="4FF326D4"/>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73600"/>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77930"/>
    <w:rsid w:val="512E0800"/>
    <w:rsid w:val="51304C97"/>
    <w:rsid w:val="51313C50"/>
    <w:rsid w:val="5133069B"/>
    <w:rsid w:val="51332E45"/>
    <w:rsid w:val="51343D63"/>
    <w:rsid w:val="51360844"/>
    <w:rsid w:val="51404505"/>
    <w:rsid w:val="514A3712"/>
    <w:rsid w:val="514E6547"/>
    <w:rsid w:val="5155369C"/>
    <w:rsid w:val="51641DED"/>
    <w:rsid w:val="5185348E"/>
    <w:rsid w:val="518A4EC5"/>
    <w:rsid w:val="518A674C"/>
    <w:rsid w:val="518F0F8A"/>
    <w:rsid w:val="51971156"/>
    <w:rsid w:val="519D292D"/>
    <w:rsid w:val="519D51AE"/>
    <w:rsid w:val="51A65946"/>
    <w:rsid w:val="51BF617C"/>
    <w:rsid w:val="51C34BD4"/>
    <w:rsid w:val="51CA7A46"/>
    <w:rsid w:val="51E512E6"/>
    <w:rsid w:val="51E76762"/>
    <w:rsid w:val="51EA01EC"/>
    <w:rsid w:val="51EA587E"/>
    <w:rsid w:val="51FD7B74"/>
    <w:rsid w:val="51FF0847"/>
    <w:rsid w:val="520B49D5"/>
    <w:rsid w:val="520C64D8"/>
    <w:rsid w:val="521129AE"/>
    <w:rsid w:val="5213481F"/>
    <w:rsid w:val="523529B3"/>
    <w:rsid w:val="523C654F"/>
    <w:rsid w:val="52423CE9"/>
    <w:rsid w:val="524314B9"/>
    <w:rsid w:val="52567C09"/>
    <w:rsid w:val="525B5F0D"/>
    <w:rsid w:val="525E640B"/>
    <w:rsid w:val="52612062"/>
    <w:rsid w:val="52663A23"/>
    <w:rsid w:val="52696596"/>
    <w:rsid w:val="526A3B8F"/>
    <w:rsid w:val="527D1BB3"/>
    <w:rsid w:val="5282089F"/>
    <w:rsid w:val="52860CA9"/>
    <w:rsid w:val="528A6007"/>
    <w:rsid w:val="52A14A4F"/>
    <w:rsid w:val="52CA2190"/>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221021"/>
    <w:rsid w:val="53251526"/>
    <w:rsid w:val="53277781"/>
    <w:rsid w:val="532F006C"/>
    <w:rsid w:val="53353859"/>
    <w:rsid w:val="53435917"/>
    <w:rsid w:val="534B0208"/>
    <w:rsid w:val="535348E2"/>
    <w:rsid w:val="53545152"/>
    <w:rsid w:val="535E74A6"/>
    <w:rsid w:val="5364241B"/>
    <w:rsid w:val="53654CEE"/>
    <w:rsid w:val="53686CD6"/>
    <w:rsid w:val="536870C4"/>
    <w:rsid w:val="536C084B"/>
    <w:rsid w:val="536D1A68"/>
    <w:rsid w:val="53741A07"/>
    <w:rsid w:val="53793A79"/>
    <w:rsid w:val="537E683E"/>
    <w:rsid w:val="53804341"/>
    <w:rsid w:val="538E7793"/>
    <w:rsid w:val="53911A2D"/>
    <w:rsid w:val="53935288"/>
    <w:rsid w:val="5394164C"/>
    <w:rsid w:val="53961243"/>
    <w:rsid w:val="53AA7B8C"/>
    <w:rsid w:val="53AF4D3D"/>
    <w:rsid w:val="53AF6F3A"/>
    <w:rsid w:val="53BA1358"/>
    <w:rsid w:val="53D06F25"/>
    <w:rsid w:val="53D57539"/>
    <w:rsid w:val="53DD62B8"/>
    <w:rsid w:val="53E34F6B"/>
    <w:rsid w:val="53E86C55"/>
    <w:rsid w:val="53E92BA4"/>
    <w:rsid w:val="53EA1F6D"/>
    <w:rsid w:val="53EF3852"/>
    <w:rsid w:val="53F72730"/>
    <w:rsid w:val="540079A1"/>
    <w:rsid w:val="54065E59"/>
    <w:rsid w:val="5409346F"/>
    <w:rsid w:val="540B580C"/>
    <w:rsid w:val="540B6034"/>
    <w:rsid w:val="540E1B27"/>
    <w:rsid w:val="543009A9"/>
    <w:rsid w:val="5434498A"/>
    <w:rsid w:val="54373B5F"/>
    <w:rsid w:val="543C31E7"/>
    <w:rsid w:val="543F5762"/>
    <w:rsid w:val="54412A6F"/>
    <w:rsid w:val="544920CA"/>
    <w:rsid w:val="544A2B60"/>
    <w:rsid w:val="54582FCE"/>
    <w:rsid w:val="545954D3"/>
    <w:rsid w:val="545B560E"/>
    <w:rsid w:val="545C2674"/>
    <w:rsid w:val="545E6FB0"/>
    <w:rsid w:val="54633A5A"/>
    <w:rsid w:val="54672FCE"/>
    <w:rsid w:val="54676BBD"/>
    <w:rsid w:val="54677BB4"/>
    <w:rsid w:val="546B58D0"/>
    <w:rsid w:val="546E11C6"/>
    <w:rsid w:val="54700CAD"/>
    <w:rsid w:val="5472296E"/>
    <w:rsid w:val="548048B0"/>
    <w:rsid w:val="5482226C"/>
    <w:rsid w:val="54844521"/>
    <w:rsid w:val="548E48F3"/>
    <w:rsid w:val="5490701E"/>
    <w:rsid w:val="549279C6"/>
    <w:rsid w:val="5497104E"/>
    <w:rsid w:val="54981E44"/>
    <w:rsid w:val="549E3281"/>
    <w:rsid w:val="549F20A2"/>
    <w:rsid w:val="54A45930"/>
    <w:rsid w:val="54B663D9"/>
    <w:rsid w:val="54B96C1A"/>
    <w:rsid w:val="54BA38A4"/>
    <w:rsid w:val="54BD496E"/>
    <w:rsid w:val="54C27784"/>
    <w:rsid w:val="54C40BD7"/>
    <w:rsid w:val="54D811B0"/>
    <w:rsid w:val="54E97235"/>
    <w:rsid w:val="54EC2121"/>
    <w:rsid w:val="54FD5AB9"/>
    <w:rsid w:val="54FF72CE"/>
    <w:rsid w:val="5516717A"/>
    <w:rsid w:val="55281604"/>
    <w:rsid w:val="55363699"/>
    <w:rsid w:val="55375CAA"/>
    <w:rsid w:val="553868A9"/>
    <w:rsid w:val="554F3F74"/>
    <w:rsid w:val="55513FF5"/>
    <w:rsid w:val="555E5403"/>
    <w:rsid w:val="55605AF6"/>
    <w:rsid w:val="55647990"/>
    <w:rsid w:val="5566209B"/>
    <w:rsid w:val="556874AA"/>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735A5"/>
    <w:rsid w:val="56355637"/>
    <w:rsid w:val="56365AEB"/>
    <w:rsid w:val="56386703"/>
    <w:rsid w:val="563C33EB"/>
    <w:rsid w:val="56482628"/>
    <w:rsid w:val="56487466"/>
    <w:rsid w:val="56583E42"/>
    <w:rsid w:val="565C6101"/>
    <w:rsid w:val="567C1339"/>
    <w:rsid w:val="56843738"/>
    <w:rsid w:val="568645E5"/>
    <w:rsid w:val="569300A5"/>
    <w:rsid w:val="56963BA1"/>
    <w:rsid w:val="56972C28"/>
    <w:rsid w:val="569C58A2"/>
    <w:rsid w:val="569F5E87"/>
    <w:rsid w:val="56A62459"/>
    <w:rsid w:val="56A625D6"/>
    <w:rsid w:val="56A80492"/>
    <w:rsid w:val="56AA3EED"/>
    <w:rsid w:val="56AF685B"/>
    <w:rsid w:val="56B01604"/>
    <w:rsid w:val="56BE1B60"/>
    <w:rsid w:val="56C30A72"/>
    <w:rsid w:val="56C37D00"/>
    <w:rsid w:val="56CA4C50"/>
    <w:rsid w:val="56CA76BA"/>
    <w:rsid w:val="56D962B8"/>
    <w:rsid w:val="56DB408F"/>
    <w:rsid w:val="56F34035"/>
    <w:rsid w:val="56F465EC"/>
    <w:rsid w:val="57005230"/>
    <w:rsid w:val="57023CF8"/>
    <w:rsid w:val="57044BAC"/>
    <w:rsid w:val="57096A3F"/>
    <w:rsid w:val="570E4832"/>
    <w:rsid w:val="570E4BA6"/>
    <w:rsid w:val="57100211"/>
    <w:rsid w:val="571133D0"/>
    <w:rsid w:val="571F30CA"/>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1544E0"/>
    <w:rsid w:val="58231F48"/>
    <w:rsid w:val="582525CE"/>
    <w:rsid w:val="582B7A46"/>
    <w:rsid w:val="58305004"/>
    <w:rsid w:val="583B552E"/>
    <w:rsid w:val="583E2F16"/>
    <w:rsid w:val="584947A1"/>
    <w:rsid w:val="584E79B0"/>
    <w:rsid w:val="585058A1"/>
    <w:rsid w:val="58544B13"/>
    <w:rsid w:val="58586F0A"/>
    <w:rsid w:val="585A0306"/>
    <w:rsid w:val="585D013C"/>
    <w:rsid w:val="58616A48"/>
    <w:rsid w:val="58622C3F"/>
    <w:rsid w:val="586A3366"/>
    <w:rsid w:val="586F2E9C"/>
    <w:rsid w:val="587A7D1C"/>
    <w:rsid w:val="587C7065"/>
    <w:rsid w:val="587F5360"/>
    <w:rsid w:val="58862DE6"/>
    <w:rsid w:val="58864413"/>
    <w:rsid w:val="588773AC"/>
    <w:rsid w:val="588E249A"/>
    <w:rsid w:val="588E5956"/>
    <w:rsid w:val="589313F4"/>
    <w:rsid w:val="58960C74"/>
    <w:rsid w:val="589D28EF"/>
    <w:rsid w:val="58A757CE"/>
    <w:rsid w:val="58AF340F"/>
    <w:rsid w:val="58B15CE2"/>
    <w:rsid w:val="58B21A5B"/>
    <w:rsid w:val="58BC2065"/>
    <w:rsid w:val="58C77D7F"/>
    <w:rsid w:val="58CD0E32"/>
    <w:rsid w:val="58D22059"/>
    <w:rsid w:val="58DC13CC"/>
    <w:rsid w:val="58DF2BE5"/>
    <w:rsid w:val="58F330B8"/>
    <w:rsid w:val="58F9664E"/>
    <w:rsid w:val="5901650F"/>
    <w:rsid w:val="59072496"/>
    <w:rsid w:val="591C6825"/>
    <w:rsid w:val="5927438F"/>
    <w:rsid w:val="592E28D2"/>
    <w:rsid w:val="593D3E1E"/>
    <w:rsid w:val="59407B43"/>
    <w:rsid w:val="59444534"/>
    <w:rsid w:val="59462E1E"/>
    <w:rsid w:val="59500028"/>
    <w:rsid w:val="59541FDF"/>
    <w:rsid w:val="596145C4"/>
    <w:rsid w:val="596878F8"/>
    <w:rsid w:val="596949AC"/>
    <w:rsid w:val="59714FFB"/>
    <w:rsid w:val="59822BBC"/>
    <w:rsid w:val="598555E2"/>
    <w:rsid w:val="59AD18FF"/>
    <w:rsid w:val="59AF2552"/>
    <w:rsid w:val="59B079AE"/>
    <w:rsid w:val="59B27FFE"/>
    <w:rsid w:val="59B3124A"/>
    <w:rsid w:val="59B71EBB"/>
    <w:rsid w:val="59BA5770"/>
    <w:rsid w:val="59BD2CBE"/>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205FC1"/>
    <w:rsid w:val="5A230755"/>
    <w:rsid w:val="5A25134B"/>
    <w:rsid w:val="5A282B16"/>
    <w:rsid w:val="5A2B1C42"/>
    <w:rsid w:val="5A316306"/>
    <w:rsid w:val="5A3236E2"/>
    <w:rsid w:val="5A3B1052"/>
    <w:rsid w:val="5A4C5FCE"/>
    <w:rsid w:val="5A514406"/>
    <w:rsid w:val="5A5954AE"/>
    <w:rsid w:val="5A6B4BAD"/>
    <w:rsid w:val="5A6D0865"/>
    <w:rsid w:val="5A787C93"/>
    <w:rsid w:val="5A7F6252"/>
    <w:rsid w:val="5A837D78"/>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A11DF"/>
    <w:rsid w:val="5ACD6955"/>
    <w:rsid w:val="5AD03122"/>
    <w:rsid w:val="5AD3439A"/>
    <w:rsid w:val="5AE2566C"/>
    <w:rsid w:val="5AE749FC"/>
    <w:rsid w:val="5AE75EE2"/>
    <w:rsid w:val="5AF2511B"/>
    <w:rsid w:val="5AF60EBB"/>
    <w:rsid w:val="5AFB7E1F"/>
    <w:rsid w:val="5B003F11"/>
    <w:rsid w:val="5B0A2004"/>
    <w:rsid w:val="5B1266D8"/>
    <w:rsid w:val="5B1418BC"/>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A2A5E"/>
    <w:rsid w:val="5B9F264B"/>
    <w:rsid w:val="5BA071EB"/>
    <w:rsid w:val="5BB22D21"/>
    <w:rsid w:val="5BB45AB5"/>
    <w:rsid w:val="5BB71338"/>
    <w:rsid w:val="5BB8167F"/>
    <w:rsid w:val="5BBE3A16"/>
    <w:rsid w:val="5BC10584"/>
    <w:rsid w:val="5BC6369A"/>
    <w:rsid w:val="5BC7623D"/>
    <w:rsid w:val="5BC953ED"/>
    <w:rsid w:val="5BCF7498"/>
    <w:rsid w:val="5BDA6741"/>
    <w:rsid w:val="5BDC3DA4"/>
    <w:rsid w:val="5BED543A"/>
    <w:rsid w:val="5BF11D48"/>
    <w:rsid w:val="5BFF2023"/>
    <w:rsid w:val="5C021D00"/>
    <w:rsid w:val="5C1B27AA"/>
    <w:rsid w:val="5C1C44D5"/>
    <w:rsid w:val="5C1E2364"/>
    <w:rsid w:val="5C1E5887"/>
    <w:rsid w:val="5C2330FB"/>
    <w:rsid w:val="5C235588"/>
    <w:rsid w:val="5C371883"/>
    <w:rsid w:val="5C3907C4"/>
    <w:rsid w:val="5C4424AE"/>
    <w:rsid w:val="5C4C2108"/>
    <w:rsid w:val="5C4C42D8"/>
    <w:rsid w:val="5C523511"/>
    <w:rsid w:val="5C525592"/>
    <w:rsid w:val="5C541BB4"/>
    <w:rsid w:val="5C5C35D6"/>
    <w:rsid w:val="5C5E6531"/>
    <w:rsid w:val="5C5F4716"/>
    <w:rsid w:val="5C600137"/>
    <w:rsid w:val="5C654783"/>
    <w:rsid w:val="5C6C1B57"/>
    <w:rsid w:val="5C6C7A3A"/>
    <w:rsid w:val="5C6D4479"/>
    <w:rsid w:val="5C705EDD"/>
    <w:rsid w:val="5C734C57"/>
    <w:rsid w:val="5C860DDC"/>
    <w:rsid w:val="5C960A06"/>
    <w:rsid w:val="5CA067EF"/>
    <w:rsid w:val="5CA310E4"/>
    <w:rsid w:val="5CAB1657"/>
    <w:rsid w:val="5CB06986"/>
    <w:rsid w:val="5CB13AAE"/>
    <w:rsid w:val="5CC5362A"/>
    <w:rsid w:val="5CCF25EB"/>
    <w:rsid w:val="5CD307B1"/>
    <w:rsid w:val="5CD90E60"/>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2FD2"/>
    <w:rsid w:val="5D23644B"/>
    <w:rsid w:val="5D254573"/>
    <w:rsid w:val="5D346EBD"/>
    <w:rsid w:val="5D372D9C"/>
    <w:rsid w:val="5D382495"/>
    <w:rsid w:val="5D3C131A"/>
    <w:rsid w:val="5D4D76C0"/>
    <w:rsid w:val="5D4E57E7"/>
    <w:rsid w:val="5D557C40"/>
    <w:rsid w:val="5D692BCC"/>
    <w:rsid w:val="5D6B1EF5"/>
    <w:rsid w:val="5D6B6ED7"/>
    <w:rsid w:val="5D6D0FAF"/>
    <w:rsid w:val="5D780FCA"/>
    <w:rsid w:val="5D7B7BCE"/>
    <w:rsid w:val="5D805957"/>
    <w:rsid w:val="5D82247A"/>
    <w:rsid w:val="5D860D20"/>
    <w:rsid w:val="5D876E1E"/>
    <w:rsid w:val="5D8D6E5B"/>
    <w:rsid w:val="5D927941"/>
    <w:rsid w:val="5D984E32"/>
    <w:rsid w:val="5D987491"/>
    <w:rsid w:val="5D9D11DD"/>
    <w:rsid w:val="5DA1730C"/>
    <w:rsid w:val="5DA56C09"/>
    <w:rsid w:val="5DB04C49"/>
    <w:rsid w:val="5DCA3AFD"/>
    <w:rsid w:val="5DD733B5"/>
    <w:rsid w:val="5DD92FC1"/>
    <w:rsid w:val="5DDD76F7"/>
    <w:rsid w:val="5DE211FE"/>
    <w:rsid w:val="5DE531EB"/>
    <w:rsid w:val="5DEA558E"/>
    <w:rsid w:val="5DEB2D87"/>
    <w:rsid w:val="5DF549BC"/>
    <w:rsid w:val="5DF80634"/>
    <w:rsid w:val="5E034CC2"/>
    <w:rsid w:val="5E112788"/>
    <w:rsid w:val="5E125D25"/>
    <w:rsid w:val="5E144979"/>
    <w:rsid w:val="5E182BD7"/>
    <w:rsid w:val="5E1D7DED"/>
    <w:rsid w:val="5E216464"/>
    <w:rsid w:val="5E2C6DF7"/>
    <w:rsid w:val="5E2F0B68"/>
    <w:rsid w:val="5E3B30BF"/>
    <w:rsid w:val="5E4B5787"/>
    <w:rsid w:val="5E5A0F05"/>
    <w:rsid w:val="5E652D3C"/>
    <w:rsid w:val="5E791D0A"/>
    <w:rsid w:val="5E8054C0"/>
    <w:rsid w:val="5E806693"/>
    <w:rsid w:val="5E8D0B5B"/>
    <w:rsid w:val="5E924CF7"/>
    <w:rsid w:val="5E976716"/>
    <w:rsid w:val="5E9D5665"/>
    <w:rsid w:val="5EA27A5B"/>
    <w:rsid w:val="5EB06D1A"/>
    <w:rsid w:val="5EC17DED"/>
    <w:rsid w:val="5EC6323D"/>
    <w:rsid w:val="5ECB6EFB"/>
    <w:rsid w:val="5ECD6C99"/>
    <w:rsid w:val="5ED00916"/>
    <w:rsid w:val="5EDD54B5"/>
    <w:rsid w:val="5EDF0237"/>
    <w:rsid w:val="5EEB591E"/>
    <w:rsid w:val="5EEC1AAF"/>
    <w:rsid w:val="5EEF3BAC"/>
    <w:rsid w:val="5EF13409"/>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A03EF"/>
    <w:rsid w:val="5F4E46DB"/>
    <w:rsid w:val="5F543965"/>
    <w:rsid w:val="5F603A2A"/>
    <w:rsid w:val="5F6074F5"/>
    <w:rsid w:val="5F67277F"/>
    <w:rsid w:val="5F885D1F"/>
    <w:rsid w:val="5F8A21C1"/>
    <w:rsid w:val="5F974B93"/>
    <w:rsid w:val="5F995FD0"/>
    <w:rsid w:val="5F9969D7"/>
    <w:rsid w:val="5F9B0901"/>
    <w:rsid w:val="5F9B3355"/>
    <w:rsid w:val="5FA21701"/>
    <w:rsid w:val="5FA35AF6"/>
    <w:rsid w:val="5FAA56F9"/>
    <w:rsid w:val="5FAD4C8A"/>
    <w:rsid w:val="5FB06CEE"/>
    <w:rsid w:val="5FB279B4"/>
    <w:rsid w:val="5FB41622"/>
    <w:rsid w:val="5FB63AE0"/>
    <w:rsid w:val="5FB8630B"/>
    <w:rsid w:val="5FBD2541"/>
    <w:rsid w:val="5FCD290C"/>
    <w:rsid w:val="5FCE775E"/>
    <w:rsid w:val="5FD65A93"/>
    <w:rsid w:val="5FD90345"/>
    <w:rsid w:val="5FDD602F"/>
    <w:rsid w:val="5FE60008"/>
    <w:rsid w:val="5FED6CDB"/>
    <w:rsid w:val="5FEE5CAB"/>
    <w:rsid w:val="5FFD327E"/>
    <w:rsid w:val="6000344F"/>
    <w:rsid w:val="600C7D20"/>
    <w:rsid w:val="60113DB1"/>
    <w:rsid w:val="60125314"/>
    <w:rsid w:val="6027328F"/>
    <w:rsid w:val="602B77BF"/>
    <w:rsid w:val="603A2ABF"/>
    <w:rsid w:val="603C15A8"/>
    <w:rsid w:val="60477ED6"/>
    <w:rsid w:val="604A46C8"/>
    <w:rsid w:val="604D70D7"/>
    <w:rsid w:val="60512301"/>
    <w:rsid w:val="60551367"/>
    <w:rsid w:val="60574045"/>
    <w:rsid w:val="6058759C"/>
    <w:rsid w:val="60592C75"/>
    <w:rsid w:val="60607E54"/>
    <w:rsid w:val="6062570F"/>
    <w:rsid w:val="60665812"/>
    <w:rsid w:val="606950C8"/>
    <w:rsid w:val="606D245A"/>
    <w:rsid w:val="60717E4B"/>
    <w:rsid w:val="607809D9"/>
    <w:rsid w:val="60856F54"/>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F66C84"/>
    <w:rsid w:val="60FA486C"/>
    <w:rsid w:val="61084F5E"/>
    <w:rsid w:val="610B34BE"/>
    <w:rsid w:val="610C109A"/>
    <w:rsid w:val="610E52A4"/>
    <w:rsid w:val="61117D9D"/>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D730C9"/>
    <w:rsid w:val="61D95B47"/>
    <w:rsid w:val="61DA7DDD"/>
    <w:rsid w:val="61E531C6"/>
    <w:rsid w:val="61EB027D"/>
    <w:rsid w:val="61F4421E"/>
    <w:rsid w:val="62045B10"/>
    <w:rsid w:val="620D14C1"/>
    <w:rsid w:val="620E44F5"/>
    <w:rsid w:val="62125F29"/>
    <w:rsid w:val="621269F4"/>
    <w:rsid w:val="62307C20"/>
    <w:rsid w:val="62353ED7"/>
    <w:rsid w:val="62462162"/>
    <w:rsid w:val="62467F4B"/>
    <w:rsid w:val="624D491F"/>
    <w:rsid w:val="62555DE7"/>
    <w:rsid w:val="62584440"/>
    <w:rsid w:val="62594BAD"/>
    <w:rsid w:val="626456F3"/>
    <w:rsid w:val="62672037"/>
    <w:rsid w:val="626D18D2"/>
    <w:rsid w:val="626D46D9"/>
    <w:rsid w:val="6271290B"/>
    <w:rsid w:val="62731E47"/>
    <w:rsid w:val="62785799"/>
    <w:rsid w:val="627A50A0"/>
    <w:rsid w:val="627A6E15"/>
    <w:rsid w:val="627E71E5"/>
    <w:rsid w:val="62844239"/>
    <w:rsid w:val="62893482"/>
    <w:rsid w:val="628C0D0A"/>
    <w:rsid w:val="628D6700"/>
    <w:rsid w:val="628F6EDC"/>
    <w:rsid w:val="62905168"/>
    <w:rsid w:val="62970CE5"/>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C3DAD"/>
    <w:rsid w:val="63321B91"/>
    <w:rsid w:val="63382746"/>
    <w:rsid w:val="634414A2"/>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6405D"/>
    <w:rsid w:val="641422FB"/>
    <w:rsid w:val="641861DF"/>
    <w:rsid w:val="641D38A8"/>
    <w:rsid w:val="642800BD"/>
    <w:rsid w:val="64352E0C"/>
    <w:rsid w:val="644538FE"/>
    <w:rsid w:val="644A0235"/>
    <w:rsid w:val="644B6387"/>
    <w:rsid w:val="645144E7"/>
    <w:rsid w:val="64574787"/>
    <w:rsid w:val="645B5BDE"/>
    <w:rsid w:val="645E7D2F"/>
    <w:rsid w:val="646E51D9"/>
    <w:rsid w:val="647031DE"/>
    <w:rsid w:val="64721EF0"/>
    <w:rsid w:val="6475258F"/>
    <w:rsid w:val="647C54C7"/>
    <w:rsid w:val="647E5D1F"/>
    <w:rsid w:val="64942E4C"/>
    <w:rsid w:val="649A681D"/>
    <w:rsid w:val="64A0097B"/>
    <w:rsid w:val="64A200E9"/>
    <w:rsid w:val="64A4671D"/>
    <w:rsid w:val="64A530EE"/>
    <w:rsid w:val="64A61339"/>
    <w:rsid w:val="64A634DA"/>
    <w:rsid w:val="64AB5964"/>
    <w:rsid w:val="64AC2F64"/>
    <w:rsid w:val="64AD1ACC"/>
    <w:rsid w:val="64AE1919"/>
    <w:rsid w:val="64AF071D"/>
    <w:rsid w:val="64BB3775"/>
    <w:rsid w:val="64BB57F8"/>
    <w:rsid w:val="64BC269F"/>
    <w:rsid w:val="64C2222A"/>
    <w:rsid w:val="64C3063C"/>
    <w:rsid w:val="64D3507C"/>
    <w:rsid w:val="64D3608D"/>
    <w:rsid w:val="64E060EB"/>
    <w:rsid w:val="64E86817"/>
    <w:rsid w:val="64EB6D9E"/>
    <w:rsid w:val="64EF5D4A"/>
    <w:rsid w:val="64F12CC7"/>
    <w:rsid w:val="64F47CF3"/>
    <w:rsid w:val="64F95AE5"/>
    <w:rsid w:val="64FA7A21"/>
    <w:rsid w:val="64FF69FB"/>
    <w:rsid w:val="65003583"/>
    <w:rsid w:val="65043F4A"/>
    <w:rsid w:val="65122A22"/>
    <w:rsid w:val="651D2F4B"/>
    <w:rsid w:val="6520586C"/>
    <w:rsid w:val="652505C7"/>
    <w:rsid w:val="65255221"/>
    <w:rsid w:val="652F4B50"/>
    <w:rsid w:val="65391F52"/>
    <w:rsid w:val="653B030A"/>
    <w:rsid w:val="6544084C"/>
    <w:rsid w:val="654C06EB"/>
    <w:rsid w:val="65553D76"/>
    <w:rsid w:val="65711A06"/>
    <w:rsid w:val="65714BC9"/>
    <w:rsid w:val="65724683"/>
    <w:rsid w:val="65762A83"/>
    <w:rsid w:val="658524FE"/>
    <w:rsid w:val="65860477"/>
    <w:rsid w:val="658A4AC2"/>
    <w:rsid w:val="659719A5"/>
    <w:rsid w:val="659768E8"/>
    <w:rsid w:val="65A31A71"/>
    <w:rsid w:val="65AD2F21"/>
    <w:rsid w:val="65AD4123"/>
    <w:rsid w:val="65B228BF"/>
    <w:rsid w:val="65B45FA0"/>
    <w:rsid w:val="65B95F16"/>
    <w:rsid w:val="65C96BF5"/>
    <w:rsid w:val="65D420B7"/>
    <w:rsid w:val="65D50280"/>
    <w:rsid w:val="65D516AB"/>
    <w:rsid w:val="65E469B9"/>
    <w:rsid w:val="65E94A91"/>
    <w:rsid w:val="65E97A17"/>
    <w:rsid w:val="65EB1A66"/>
    <w:rsid w:val="65F50EFF"/>
    <w:rsid w:val="65F87EE8"/>
    <w:rsid w:val="65FA2543"/>
    <w:rsid w:val="66062D34"/>
    <w:rsid w:val="660A6344"/>
    <w:rsid w:val="661150DF"/>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81097E"/>
    <w:rsid w:val="668670D4"/>
    <w:rsid w:val="66893AB2"/>
    <w:rsid w:val="66944478"/>
    <w:rsid w:val="66961E9C"/>
    <w:rsid w:val="669C1C39"/>
    <w:rsid w:val="669F0DD7"/>
    <w:rsid w:val="66A14990"/>
    <w:rsid w:val="66B15758"/>
    <w:rsid w:val="66B2177A"/>
    <w:rsid w:val="66B43318"/>
    <w:rsid w:val="66C2550F"/>
    <w:rsid w:val="66CD1ADC"/>
    <w:rsid w:val="66CD41A2"/>
    <w:rsid w:val="66D035E5"/>
    <w:rsid w:val="66D67F70"/>
    <w:rsid w:val="66D7383E"/>
    <w:rsid w:val="66D86466"/>
    <w:rsid w:val="66DE4DB0"/>
    <w:rsid w:val="66E0554D"/>
    <w:rsid w:val="66EF254D"/>
    <w:rsid w:val="66F17846"/>
    <w:rsid w:val="671136F1"/>
    <w:rsid w:val="671D201A"/>
    <w:rsid w:val="671E19D0"/>
    <w:rsid w:val="6731235A"/>
    <w:rsid w:val="673226DD"/>
    <w:rsid w:val="67325781"/>
    <w:rsid w:val="673332D4"/>
    <w:rsid w:val="6736246E"/>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6727D"/>
    <w:rsid w:val="67B10006"/>
    <w:rsid w:val="67B25853"/>
    <w:rsid w:val="67BA3E66"/>
    <w:rsid w:val="67C4421C"/>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65446"/>
    <w:rsid w:val="683D6961"/>
    <w:rsid w:val="68465BE5"/>
    <w:rsid w:val="684D2161"/>
    <w:rsid w:val="685E1AB3"/>
    <w:rsid w:val="686B53DF"/>
    <w:rsid w:val="68704A5E"/>
    <w:rsid w:val="687B09E1"/>
    <w:rsid w:val="689044FE"/>
    <w:rsid w:val="6891166A"/>
    <w:rsid w:val="68954387"/>
    <w:rsid w:val="689E43D7"/>
    <w:rsid w:val="68AB3DD3"/>
    <w:rsid w:val="68AC6478"/>
    <w:rsid w:val="68AF59C1"/>
    <w:rsid w:val="68B341DF"/>
    <w:rsid w:val="68B4076A"/>
    <w:rsid w:val="68B547A5"/>
    <w:rsid w:val="68BC0290"/>
    <w:rsid w:val="68C0387A"/>
    <w:rsid w:val="68C94669"/>
    <w:rsid w:val="68CB7074"/>
    <w:rsid w:val="68D034A3"/>
    <w:rsid w:val="68D518BE"/>
    <w:rsid w:val="68ED31FE"/>
    <w:rsid w:val="68EF0F81"/>
    <w:rsid w:val="68F267FA"/>
    <w:rsid w:val="68F35DEA"/>
    <w:rsid w:val="68FB5F53"/>
    <w:rsid w:val="69004AAD"/>
    <w:rsid w:val="69097407"/>
    <w:rsid w:val="69275369"/>
    <w:rsid w:val="692C198F"/>
    <w:rsid w:val="692D768A"/>
    <w:rsid w:val="69407E0E"/>
    <w:rsid w:val="6944301C"/>
    <w:rsid w:val="6949485F"/>
    <w:rsid w:val="694D518E"/>
    <w:rsid w:val="69575715"/>
    <w:rsid w:val="69606004"/>
    <w:rsid w:val="6967726F"/>
    <w:rsid w:val="697815AF"/>
    <w:rsid w:val="697A00D6"/>
    <w:rsid w:val="69875FD4"/>
    <w:rsid w:val="69894A11"/>
    <w:rsid w:val="698B288A"/>
    <w:rsid w:val="69910FF0"/>
    <w:rsid w:val="69A03700"/>
    <w:rsid w:val="69A62159"/>
    <w:rsid w:val="69AC23A9"/>
    <w:rsid w:val="69B30344"/>
    <w:rsid w:val="69B8294C"/>
    <w:rsid w:val="69C12909"/>
    <w:rsid w:val="69C9523C"/>
    <w:rsid w:val="69E63BA6"/>
    <w:rsid w:val="69E97969"/>
    <w:rsid w:val="69ED1076"/>
    <w:rsid w:val="69FD3935"/>
    <w:rsid w:val="69FE76EC"/>
    <w:rsid w:val="69FF5D56"/>
    <w:rsid w:val="6A026A25"/>
    <w:rsid w:val="6A091791"/>
    <w:rsid w:val="6A094475"/>
    <w:rsid w:val="6A121D4C"/>
    <w:rsid w:val="6A2C31D8"/>
    <w:rsid w:val="6A323D8C"/>
    <w:rsid w:val="6A3777A8"/>
    <w:rsid w:val="6A3877C1"/>
    <w:rsid w:val="6A4D79D5"/>
    <w:rsid w:val="6A5356F7"/>
    <w:rsid w:val="6A5A321E"/>
    <w:rsid w:val="6A5A5884"/>
    <w:rsid w:val="6A6B690B"/>
    <w:rsid w:val="6A8E655B"/>
    <w:rsid w:val="6A963C65"/>
    <w:rsid w:val="6A9764BC"/>
    <w:rsid w:val="6A9A10BC"/>
    <w:rsid w:val="6A9A7CFD"/>
    <w:rsid w:val="6AB36AA8"/>
    <w:rsid w:val="6AB701FA"/>
    <w:rsid w:val="6AC24D84"/>
    <w:rsid w:val="6AC25F3C"/>
    <w:rsid w:val="6AC451FB"/>
    <w:rsid w:val="6ACA0149"/>
    <w:rsid w:val="6AE0092D"/>
    <w:rsid w:val="6AE31517"/>
    <w:rsid w:val="6AE908F1"/>
    <w:rsid w:val="6AF107FC"/>
    <w:rsid w:val="6B081846"/>
    <w:rsid w:val="6B095854"/>
    <w:rsid w:val="6B0F3F1A"/>
    <w:rsid w:val="6B1272E7"/>
    <w:rsid w:val="6B176896"/>
    <w:rsid w:val="6B200B85"/>
    <w:rsid w:val="6B287F83"/>
    <w:rsid w:val="6B2B0790"/>
    <w:rsid w:val="6B2B70B4"/>
    <w:rsid w:val="6B3E4826"/>
    <w:rsid w:val="6B4A659E"/>
    <w:rsid w:val="6B4C64EA"/>
    <w:rsid w:val="6B520916"/>
    <w:rsid w:val="6B682116"/>
    <w:rsid w:val="6B6838C9"/>
    <w:rsid w:val="6B722E05"/>
    <w:rsid w:val="6B751FCE"/>
    <w:rsid w:val="6B7939DA"/>
    <w:rsid w:val="6B7A5412"/>
    <w:rsid w:val="6B7F64AB"/>
    <w:rsid w:val="6B846EF4"/>
    <w:rsid w:val="6B855BDC"/>
    <w:rsid w:val="6B91486F"/>
    <w:rsid w:val="6B92723A"/>
    <w:rsid w:val="6B945BBF"/>
    <w:rsid w:val="6B9A7CD8"/>
    <w:rsid w:val="6BAE0A1B"/>
    <w:rsid w:val="6BB30447"/>
    <w:rsid w:val="6BBE6D2F"/>
    <w:rsid w:val="6BEA249C"/>
    <w:rsid w:val="6BEB4C1D"/>
    <w:rsid w:val="6BF5230D"/>
    <w:rsid w:val="6BF640CD"/>
    <w:rsid w:val="6BFE7FD4"/>
    <w:rsid w:val="6C03128B"/>
    <w:rsid w:val="6C034FB4"/>
    <w:rsid w:val="6C05519A"/>
    <w:rsid w:val="6C0E2A3B"/>
    <w:rsid w:val="6C1744BE"/>
    <w:rsid w:val="6C190122"/>
    <w:rsid w:val="6C1902BA"/>
    <w:rsid w:val="6C1C5A28"/>
    <w:rsid w:val="6C287541"/>
    <w:rsid w:val="6C377F0E"/>
    <w:rsid w:val="6C3C08B1"/>
    <w:rsid w:val="6C5C72FA"/>
    <w:rsid w:val="6C63030D"/>
    <w:rsid w:val="6C6701F2"/>
    <w:rsid w:val="6C673849"/>
    <w:rsid w:val="6C80342F"/>
    <w:rsid w:val="6C811662"/>
    <w:rsid w:val="6C811960"/>
    <w:rsid w:val="6C853AC4"/>
    <w:rsid w:val="6C937246"/>
    <w:rsid w:val="6C9816CF"/>
    <w:rsid w:val="6CA55FAD"/>
    <w:rsid w:val="6CB736E9"/>
    <w:rsid w:val="6CBA5F3C"/>
    <w:rsid w:val="6CCB3706"/>
    <w:rsid w:val="6CDF4A66"/>
    <w:rsid w:val="6CE61633"/>
    <w:rsid w:val="6CEF2DC8"/>
    <w:rsid w:val="6CF43CCE"/>
    <w:rsid w:val="6CF536E9"/>
    <w:rsid w:val="6CF5606F"/>
    <w:rsid w:val="6CFF7217"/>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86614"/>
    <w:rsid w:val="6D8B1C75"/>
    <w:rsid w:val="6D932EAF"/>
    <w:rsid w:val="6DBD0DAF"/>
    <w:rsid w:val="6DC4482D"/>
    <w:rsid w:val="6DCA6791"/>
    <w:rsid w:val="6DCD58AB"/>
    <w:rsid w:val="6DD6111A"/>
    <w:rsid w:val="6DE00C70"/>
    <w:rsid w:val="6DE353F1"/>
    <w:rsid w:val="6DEB463B"/>
    <w:rsid w:val="6DEE24EC"/>
    <w:rsid w:val="6DF5372B"/>
    <w:rsid w:val="6DF81E00"/>
    <w:rsid w:val="6DFE6212"/>
    <w:rsid w:val="6E040FB9"/>
    <w:rsid w:val="6E0463C0"/>
    <w:rsid w:val="6E124682"/>
    <w:rsid w:val="6E19302D"/>
    <w:rsid w:val="6E1B3FDD"/>
    <w:rsid w:val="6E1E7048"/>
    <w:rsid w:val="6E1F5757"/>
    <w:rsid w:val="6E2634B4"/>
    <w:rsid w:val="6E2C1EB9"/>
    <w:rsid w:val="6E2C223A"/>
    <w:rsid w:val="6E2F5F26"/>
    <w:rsid w:val="6E305619"/>
    <w:rsid w:val="6E387B7D"/>
    <w:rsid w:val="6E402157"/>
    <w:rsid w:val="6E406975"/>
    <w:rsid w:val="6E414522"/>
    <w:rsid w:val="6E424B3C"/>
    <w:rsid w:val="6E4B3F9A"/>
    <w:rsid w:val="6E580429"/>
    <w:rsid w:val="6E5B4A18"/>
    <w:rsid w:val="6E610468"/>
    <w:rsid w:val="6E611A4E"/>
    <w:rsid w:val="6E6219EF"/>
    <w:rsid w:val="6E63437A"/>
    <w:rsid w:val="6E680AC2"/>
    <w:rsid w:val="6E6A2935"/>
    <w:rsid w:val="6E6F563B"/>
    <w:rsid w:val="6E72645D"/>
    <w:rsid w:val="6E7352B3"/>
    <w:rsid w:val="6E766DC9"/>
    <w:rsid w:val="6E801620"/>
    <w:rsid w:val="6E804815"/>
    <w:rsid w:val="6E822FFE"/>
    <w:rsid w:val="6E862B6D"/>
    <w:rsid w:val="6E862F48"/>
    <w:rsid w:val="6E926828"/>
    <w:rsid w:val="6EAC0AF4"/>
    <w:rsid w:val="6EAD08D9"/>
    <w:rsid w:val="6EB01DE3"/>
    <w:rsid w:val="6EB5146A"/>
    <w:rsid w:val="6EB86EA2"/>
    <w:rsid w:val="6EC008FC"/>
    <w:rsid w:val="6EC429D7"/>
    <w:rsid w:val="6ECD799E"/>
    <w:rsid w:val="6ECE33F4"/>
    <w:rsid w:val="6ED245B0"/>
    <w:rsid w:val="6ED71DD0"/>
    <w:rsid w:val="6EE10E0F"/>
    <w:rsid w:val="6EEF756C"/>
    <w:rsid w:val="6EF32476"/>
    <w:rsid w:val="6EF55BD9"/>
    <w:rsid w:val="6F065E48"/>
    <w:rsid w:val="6F134346"/>
    <w:rsid w:val="6F1513F7"/>
    <w:rsid w:val="6F170A4D"/>
    <w:rsid w:val="6F193CE0"/>
    <w:rsid w:val="6F2A3DFB"/>
    <w:rsid w:val="6F3369BB"/>
    <w:rsid w:val="6F3E6C19"/>
    <w:rsid w:val="6F4C4F92"/>
    <w:rsid w:val="6F511EE4"/>
    <w:rsid w:val="6F576BAB"/>
    <w:rsid w:val="6F5B6A33"/>
    <w:rsid w:val="6F5C3422"/>
    <w:rsid w:val="6F5F7E5D"/>
    <w:rsid w:val="6F630569"/>
    <w:rsid w:val="6F6F0AA0"/>
    <w:rsid w:val="6F712CFE"/>
    <w:rsid w:val="6F726F60"/>
    <w:rsid w:val="6F73576B"/>
    <w:rsid w:val="6F757E94"/>
    <w:rsid w:val="6F791A83"/>
    <w:rsid w:val="6F881FEB"/>
    <w:rsid w:val="6F8C070F"/>
    <w:rsid w:val="6F8C779B"/>
    <w:rsid w:val="6F922CE7"/>
    <w:rsid w:val="6F936945"/>
    <w:rsid w:val="6F963980"/>
    <w:rsid w:val="6F9956D1"/>
    <w:rsid w:val="6F9B74DC"/>
    <w:rsid w:val="6F9D7521"/>
    <w:rsid w:val="6FA945F3"/>
    <w:rsid w:val="6FAB72CD"/>
    <w:rsid w:val="6FAC13EA"/>
    <w:rsid w:val="6FAC463B"/>
    <w:rsid w:val="6FB0406F"/>
    <w:rsid w:val="6FB658B9"/>
    <w:rsid w:val="6FBD24A6"/>
    <w:rsid w:val="6FC37E8F"/>
    <w:rsid w:val="6FCA088F"/>
    <w:rsid w:val="6FCB285C"/>
    <w:rsid w:val="6FCE07A2"/>
    <w:rsid w:val="6FE4735A"/>
    <w:rsid w:val="6FE81C55"/>
    <w:rsid w:val="6FED22CC"/>
    <w:rsid w:val="6FF84FF0"/>
    <w:rsid w:val="6FFE3146"/>
    <w:rsid w:val="700A5AA4"/>
    <w:rsid w:val="700A5E30"/>
    <w:rsid w:val="700B4CA0"/>
    <w:rsid w:val="7010420A"/>
    <w:rsid w:val="7021525A"/>
    <w:rsid w:val="70323DBD"/>
    <w:rsid w:val="70351D2B"/>
    <w:rsid w:val="703A3E84"/>
    <w:rsid w:val="703C3B35"/>
    <w:rsid w:val="703D3A58"/>
    <w:rsid w:val="704114DE"/>
    <w:rsid w:val="70413BEB"/>
    <w:rsid w:val="704C2DF0"/>
    <w:rsid w:val="70565D1B"/>
    <w:rsid w:val="705F7547"/>
    <w:rsid w:val="70612B4A"/>
    <w:rsid w:val="706D4A29"/>
    <w:rsid w:val="707673C3"/>
    <w:rsid w:val="70775E46"/>
    <w:rsid w:val="70870B1F"/>
    <w:rsid w:val="708D1ADE"/>
    <w:rsid w:val="709177AA"/>
    <w:rsid w:val="709F7CAA"/>
    <w:rsid w:val="70A75E78"/>
    <w:rsid w:val="70AC0078"/>
    <w:rsid w:val="70AC19F3"/>
    <w:rsid w:val="70C07B9A"/>
    <w:rsid w:val="70E215AC"/>
    <w:rsid w:val="70F17BE3"/>
    <w:rsid w:val="70FB7FC2"/>
    <w:rsid w:val="710931B0"/>
    <w:rsid w:val="710F37E5"/>
    <w:rsid w:val="710F7CFE"/>
    <w:rsid w:val="711038EF"/>
    <w:rsid w:val="711C07AD"/>
    <w:rsid w:val="711D73A5"/>
    <w:rsid w:val="712467E0"/>
    <w:rsid w:val="71263EE7"/>
    <w:rsid w:val="7129026F"/>
    <w:rsid w:val="71304C8A"/>
    <w:rsid w:val="71332AE5"/>
    <w:rsid w:val="713A069E"/>
    <w:rsid w:val="71413502"/>
    <w:rsid w:val="714F77B8"/>
    <w:rsid w:val="71567F3A"/>
    <w:rsid w:val="716254DB"/>
    <w:rsid w:val="71650D7C"/>
    <w:rsid w:val="71690B9C"/>
    <w:rsid w:val="716C36A6"/>
    <w:rsid w:val="71731992"/>
    <w:rsid w:val="717447C0"/>
    <w:rsid w:val="718B0C94"/>
    <w:rsid w:val="718C797D"/>
    <w:rsid w:val="718F17A1"/>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F570A3"/>
    <w:rsid w:val="71FD3815"/>
    <w:rsid w:val="721871DD"/>
    <w:rsid w:val="722145EB"/>
    <w:rsid w:val="7223036A"/>
    <w:rsid w:val="722364D0"/>
    <w:rsid w:val="72251ED3"/>
    <w:rsid w:val="7227679D"/>
    <w:rsid w:val="7232313D"/>
    <w:rsid w:val="723359DE"/>
    <w:rsid w:val="7235401E"/>
    <w:rsid w:val="72380CC7"/>
    <w:rsid w:val="723F58C3"/>
    <w:rsid w:val="72407594"/>
    <w:rsid w:val="72436318"/>
    <w:rsid w:val="72487CE0"/>
    <w:rsid w:val="724A0587"/>
    <w:rsid w:val="724C3775"/>
    <w:rsid w:val="7261274C"/>
    <w:rsid w:val="726822D9"/>
    <w:rsid w:val="72A36EC0"/>
    <w:rsid w:val="72B93507"/>
    <w:rsid w:val="72BE394E"/>
    <w:rsid w:val="72C02CCD"/>
    <w:rsid w:val="72CB293F"/>
    <w:rsid w:val="72D2349C"/>
    <w:rsid w:val="72D41E32"/>
    <w:rsid w:val="72DA112E"/>
    <w:rsid w:val="72DC3E1E"/>
    <w:rsid w:val="72E03114"/>
    <w:rsid w:val="72E159D6"/>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607583"/>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A26EC"/>
    <w:rsid w:val="73B77F17"/>
    <w:rsid w:val="73B97C46"/>
    <w:rsid w:val="73BF3207"/>
    <w:rsid w:val="73C2191D"/>
    <w:rsid w:val="73C46856"/>
    <w:rsid w:val="73D146B2"/>
    <w:rsid w:val="73D43118"/>
    <w:rsid w:val="73D66E6A"/>
    <w:rsid w:val="73DB651A"/>
    <w:rsid w:val="73DE3C21"/>
    <w:rsid w:val="73EA5F89"/>
    <w:rsid w:val="73EB5EF6"/>
    <w:rsid w:val="73F53D53"/>
    <w:rsid w:val="73FA2F75"/>
    <w:rsid w:val="73FA450F"/>
    <w:rsid w:val="73FE6CD9"/>
    <w:rsid w:val="74076858"/>
    <w:rsid w:val="741A3124"/>
    <w:rsid w:val="74212BAF"/>
    <w:rsid w:val="742475BB"/>
    <w:rsid w:val="7426357E"/>
    <w:rsid w:val="74273E69"/>
    <w:rsid w:val="74292792"/>
    <w:rsid w:val="742B641A"/>
    <w:rsid w:val="742D4D4A"/>
    <w:rsid w:val="742F1B00"/>
    <w:rsid w:val="74364FB5"/>
    <w:rsid w:val="7444022D"/>
    <w:rsid w:val="74442F77"/>
    <w:rsid w:val="74484A9B"/>
    <w:rsid w:val="744A540C"/>
    <w:rsid w:val="744D19AB"/>
    <w:rsid w:val="74524688"/>
    <w:rsid w:val="7465560D"/>
    <w:rsid w:val="7469251B"/>
    <w:rsid w:val="746C62CC"/>
    <w:rsid w:val="74810EBA"/>
    <w:rsid w:val="74890F33"/>
    <w:rsid w:val="749F1E28"/>
    <w:rsid w:val="74A039B8"/>
    <w:rsid w:val="74A66772"/>
    <w:rsid w:val="74A909E5"/>
    <w:rsid w:val="74AA4F0F"/>
    <w:rsid w:val="74B6351E"/>
    <w:rsid w:val="74C52A33"/>
    <w:rsid w:val="74CB4C2F"/>
    <w:rsid w:val="74D878C5"/>
    <w:rsid w:val="74E17101"/>
    <w:rsid w:val="74E871F0"/>
    <w:rsid w:val="74EB34AC"/>
    <w:rsid w:val="74ED6881"/>
    <w:rsid w:val="74F52FB1"/>
    <w:rsid w:val="74F53091"/>
    <w:rsid w:val="74F574AE"/>
    <w:rsid w:val="74FE1592"/>
    <w:rsid w:val="75092EF9"/>
    <w:rsid w:val="75170729"/>
    <w:rsid w:val="751A141C"/>
    <w:rsid w:val="751A7F6B"/>
    <w:rsid w:val="751D6EAF"/>
    <w:rsid w:val="752162ED"/>
    <w:rsid w:val="75285F14"/>
    <w:rsid w:val="753047EE"/>
    <w:rsid w:val="753241D6"/>
    <w:rsid w:val="754751A6"/>
    <w:rsid w:val="756515D5"/>
    <w:rsid w:val="756E741F"/>
    <w:rsid w:val="756F7EDB"/>
    <w:rsid w:val="759503D4"/>
    <w:rsid w:val="759B5B5D"/>
    <w:rsid w:val="75A236B2"/>
    <w:rsid w:val="75A641C4"/>
    <w:rsid w:val="75B3270C"/>
    <w:rsid w:val="75B50EFF"/>
    <w:rsid w:val="75C20090"/>
    <w:rsid w:val="75CB1B3F"/>
    <w:rsid w:val="75E0700F"/>
    <w:rsid w:val="75E1375C"/>
    <w:rsid w:val="75EE20CC"/>
    <w:rsid w:val="75F53481"/>
    <w:rsid w:val="75F71F4D"/>
    <w:rsid w:val="75F86A3D"/>
    <w:rsid w:val="75FE09C8"/>
    <w:rsid w:val="761108B6"/>
    <w:rsid w:val="761C303B"/>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F086B"/>
    <w:rsid w:val="76834A1C"/>
    <w:rsid w:val="7683693C"/>
    <w:rsid w:val="76852C07"/>
    <w:rsid w:val="768748DB"/>
    <w:rsid w:val="76883F26"/>
    <w:rsid w:val="768D70AF"/>
    <w:rsid w:val="76970DEF"/>
    <w:rsid w:val="76972AAB"/>
    <w:rsid w:val="76A80234"/>
    <w:rsid w:val="76A80D31"/>
    <w:rsid w:val="76AB1A36"/>
    <w:rsid w:val="76AD51CC"/>
    <w:rsid w:val="76BD1EC6"/>
    <w:rsid w:val="76C01C98"/>
    <w:rsid w:val="76C25BA1"/>
    <w:rsid w:val="76C56BFA"/>
    <w:rsid w:val="76C60922"/>
    <w:rsid w:val="76CB7E3D"/>
    <w:rsid w:val="76DC3209"/>
    <w:rsid w:val="76EA23A7"/>
    <w:rsid w:val="76EC45E1"/>
    <w:rsid w:val="76ED0243"/>
    <w:rsid w:val="76F051EC"/>
    <w:rsid w:val="76FE351B"/>
    <w:rsid w:val="76FF0DE4"/>
    <w:rsid w:val="77006FF5"/>
    <w:rsid w:val="77180EEF"/>
    <w:rsid w:val="77242F9B"/>
    <w:rsid w:val="772C7637"/>
    <w:rsid w:val="773032D4"/>
    <w:rsid w:val="773A02A1"/>
    <w:rsid w:val="77407DB5"/>
    <w:rsid w:val="77460ECB"/>
    <w:rsid w:val="774631A2"/>
    <w:rsid w:val="774E5C04"/>
    <w:rsid w:val="7759185C"/>
    <w:rsid w:val="775A1150"/>
    <w:rsid w:val="775F2A44"/>
    <w:rsid w:val="77635C2E"/>
    <w:rsid w:val="77664ECB"/>
    <w:rsid w:val="77675268"/>
    <w:rsid w:val="77742746"/>
    <w:rsid w:val="77786DA6"/>
    <w:rsid w:val="778843FB"/>
    <w:rsid w:val="778E17B2"/>
    <w:rsid w:val="77990E6A"/>
    <w:rsid w:val="779A6024"/>
    <w:rsid w:val="779B311A"/>
    <w:rsid w:val="77A36BEC"/>
    <w:rsid w:val="77B17027"/>
    <w:rsid w:val="77B31333"/>
    <w:rsid w:val="77BA1AC8"/>
    <w:rsid w:val="77BA6CEC"/>
    <w:rsid w:val="77D10265"/>
    <w:rsid w:val="77D35131"/>
    <w:rsid w:val="77DD72E2"/>
    <w:rsid w:val="77E30556"/>
    <w:rsid w:val="77E86777"/>
    <w:rsid w:val="77F3616A"/>
    <w:rsid w:val="77F40BEF"/>
    <w:rsid w:val="77FA18D0"/>
    <w:rsid w:val="77FE1D66"/>
    <w:rsid w:val="78043735"/>
    <w:rsid w:val="78117C14"/>
    <w:rsid w:val="78176516"/>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87256E"/>
    <w:rsid w:val="78900E9E"/>
    <w:rsid w:val="78984D40"/>
    <w:rsid w:val="789A31ED"/>
    <w:rsid w:val="789D1371"/>
    <w:rsid w:val="78A2013A"/>
    <w:rsid w:val="78AB3A7C"/>
    <w:rsid w:val="78B02F47"/>
    <w:rsid w:val="78B67A9B"/>
    <w:rsid w:val="78BF08A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E6A79"/>
    <w:rsid w:val="7940051E"/>
    <w:rsid w:val="7952784C"/>
    <w:rsid w:val="796075BB"/>
    <w:rsid w:val="79720A2F"/>
    <w:rsid w:val="79766112"/>
    <w:rsid w:val="79771A73"/>
    <w:rsid w:val="79837F7F"/>
    <w:rsid w:val="79876D2B"/>
    <w:rsid w:val="798D54B0"/>
    <w:rsid w:val="79921D48"/>
    <w:rsid w:val="79922665"/>
    <w:rsid w:val="799C6A6B"/>
    <w:rsid w:val="79A674D2"/>
    <w:rsid w:val="79A87069"/>
    <w:rsid w:val="79B53C6D"/>
    <w:rsid w:val="79B64A30"/>
    <w:rsid w:val="79B76B05"/>
    <w:rsid w:val="79C52095"/>
    <w:rsid w:val="79C65BBE"/>
    <w:rsid w:val="79D1116F"/>
    <w:rsid w:val="79D96809"/>
    <w:rsid w:val="79E226D1"/>
    <w:rsid w:val="79E97929"/>
    <w:rsid w:val="79EB4459"/>
    <w:rsid w:val="79F23CDC"/>
    <w:rsid w:val="79F34CAF"/>
    <w:rsid w:val="7A1D6F2C"/>
    <w:rsid w:val="7A270D7D"/>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04A42"/>
    <w:rsid w:val="7AB37FBB"/>
    <w:rsid w:val="7AB44C4D"/>
    <w:rsid w:val="7AC40312"/>
    <w:rsid w:val="7AD53736"/>
    <w:rsid w:val="7AD9270A"/>
    <w:rsid w:val="7AE026C2"/>
    <w:rsid w:val="7AEC5358"/>
    <w:rsid w:val="7AF6355F"/>
    <w:rsid w:val="7AF86AE2"/>
    <w:rsid w:val="7B055E0F"/>
    <w:rsid w:val="7B081DA0"/>
    <w:rsid w:val="7B186B71"/>
    <w:rsid w:val="7B2223D2"/>
    <w:rsid w:val="7B231F28"/>
    <w:rsid w:val="7B2C4334"/>
    <w:rsid w:val="7B2C4CC0"/>
    <w:rsid w:val="7B2E2426"/>
    <w:rsid w:val="7B3A0DFE"/>
    <w:rsid w:val="7B3D4DA7"/>
    <w:rsid w:val="7B4E236A"/>
    <w:rsid w:val="7B5016EF"/>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72AD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7B7F"/>
    <w:rsid w:val="7C934E11"/>
    <w:rsid w:val="7C955035"/>
    <w:rsid w:val="7C960A7C"/>
    <w:rsid w:val="7C981479"/>
    <w:rsid w:val="7C98620C"/>
    <w:rsid w:val="7CA621E0"/>
    <w:rsid w:val="7CA778E3"/>
    <w:rsid w:val="7CB9688C"/>
    <w:rsid w:val="7CC9599D"/>
    <w:rsid w:val="7CCC22F1"/>
    <w:rsid w:val="7CD10E3C"/>
    <w:rsid w:val="7CD472FB"/>
    <w:rsid w:val="7CD74DFA"/>
    <w:rsid w:val="7CF349A0"/>
    <w:rsid w:val="7CF43390"/>
    <w:rsid w:val="7CF87A64"/>
    <w:rsid w:val="7D063701"/>
    <w:rsid w:val="7D0C3EEB"/>
    <w:rsid w:val="7D0E6A3E"/>
    <w:rsid w:val="7D103C58"/>
    <w:rsid w:val="7D141D26"/>
    <w:rsid w:val="7D16509E"/>
    <w:rsid w:val="7D1A5047"/>
    <w:rsid w:val="7D2810B8"/>
    <w:rsid w:val="7D321D31"/>
    <w:rsid w:val="7D327CAA"/>
    <w:rsid w:val="7D3B4997"/>
    <w:rsid w:val="7D464D8B"/>
    <w:rsid w:val="7D4976D6"/>
    <w:rsid w:val="7D4D4F8F"/>
    <w:rsid w:val="7D527871"/>
    <w:rsid w:val="7D556DD8"/>
    <w:rsid w:val="7D594D25"/>
    <w:rsid w:val="7D604354"/>
    <w:rsid w:val="7D614D41"/>
    <w:rsid w:val="7D6D1027"/>
    <w:rsid w:val="7D755334"/>
    <w:rsid w:val="7D760599"/>
    <w:rsid w:val="7D78013B"/>
    <w:rsid w:val="7D787ECC"/>
    <w:rsid w:val="7D7C2278"/>
    <w:rsid w:val="7D8570B6"/>
    <w:rsid w:val="7D892D2B"/>
    <w:rsid w:val="7D8C206E"/>
    <w:rsid w:val="7D9220EE"/>
    <w:rsid w:val="7D952C01"/>
    <w:rsid w:val="7D9621EC"/>
    <w:rsid w:val="7D9C08D5"/>
    <w:rsid w:val="7DA4468F"/>
    <w:rsid w:val="7DAB4491"/>
    <w:rsid w:val="7DAC3888"/>
    <w:rsid w:val="7DB531D9"/>
    <w:rsid w:val="7DCB4ECF"/>
    <w:rsid w:val="7DD27EC2"/>
    <w:rsid w:val="7DD35BF7"/>
    <w:rsid w:val="7DEB22A3"/>
    <w:rsid w:val="7DF15509"/>
    <w:rsid w:val="7DF24D46"/>
    <w:rsid w:val="7DF5601E"/>
    <w:rsid w:val="7DF5696A"/>
    <w:rsid w:val="7DF92346"/>
    <w:rsid w:val="7E033F2E"/>
    <w:rsid w:val="7E08160E"/>
    <w:rsid w:val="7E0D70D3"/>
    <w:rsid w:val="7E0F3EE7"/>
    <w:rsid w:val="7E101E5B"/>
    <w:rsid w:val="7E1A1020"/>
    <w:rsid w:val="7E1B3F33"/>
    <w:rsid w:val="7E1B5F99"/>
    <w:rsid w:val="7E1C01B8"/>
    <w:rsid w:val="7E1C324B"/>
    <w:rsid w:val="7E1C4DB8"/>
    <w:rsid w:val="7E1E5E0F"/>
    <w:rsid w:val="7E255218"/>
    <w:rsid w:val="7E262176"/>
    <w:rsid w:val="7E3F288B"/>
    <w:rsid w:val="7E464A33"/>
    <w:rsid w:val="7E4726DC"/>
    <w:rsid w:val="7E524B0D"/>
    <w:rsid w:val="7E60723E"/>
    <w:rsid w:val="7E676DAA"/>
    <w:rsid w:val="7E754A27"/>
    <w:rsid w:val="7E930BD6"/>
    <w:rsid w:val="7E970804"/>
    <w:rsid w:val="7E993FB7"/>
    <w:rsid w:val="7E9A7C76"/>
    <w:rsid w:val="7EA16809"/>
    <w:rsid w:val="7EA757F3"/>
    <w:rsid w:val="7EA76728"/>
    <w:rsid w:val="7EAA6440"/>
    <w:rsid w:val="7EAD7950"/>
    <w:rsid w:val="7EB62378"/>
    <w:rsid w:val="7EBA4E02"/>
    <w:rsid w:val="7EBD751C"/>
    <w:rsid w:val="7EC46E9A"/>
    <w:rsid w:val="7EC70DDC"/>
    <w:rsid w:val="7EC756AD"/>
    <w:rsid w:val="7ED054A1"/>
    <w:rsid w:val="7ED63B43"/>
    <w:rsid w:val="7EDA224D"/>
    <w:rsid w:val="7EE613DB"/>
    <w:rsid w:val="7EEB0D7C"/>
    <w:rsid w:val="7EEC208B"/>
    <w:rsid w:val="7EFC100C"/>
    <w:rsid w:val="7F004803"/>
    <w:rsid w:val="7F07622C"/>
    <w:rsid w:val="7F0F6799"/>
    <w:rsid w:val="7F1207B2"/>
    <w:rsid w:val="7F124DE7"/>
    <w:rsid w:val="7F21785D"/>
    <w:rsid w:val="7F287205"/>
    <w:rsid w:val="7F2A4104"/>
    <w:rsid w:val="7F2B2602"/>
    <w:rsid w:val="7F351531"/>
    <w:rsid w:val="7F3C3963"/>
    <w:rsid w:val="7F47771D"/>
    <w:rsid w:val="7F4859B6"/>
    <w:rsid w:val="7F4B7D44"/>
    <w:rsid w:val="7F4F43E9"/>
    <w:rsid w:val="7F4F77B8"/>
    <w:rsid w:val="7F607033"/>
    <w:rsid w:val="7F6951CA"/>
    <w:rsid w:val="7F6C5DF1"/>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szCs w:val="22"/>
      <w:lang w:val="en-US" w:eastAsia="zh-CN" w:bidi="ar-SA"/>
    </w:rPr>
  </w:style>
  <w:style w:type="paragraph" w:styleId="2">
    <w:name w:val="heading 1"/>
    <w:basedOn w:val="1"/>
    <w:next w:val="1"/>
    <w:link w:val="43"/>
    <w:qFormat/>
    <w:uiPriority w:val="99"/>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tabs>
        <w:tab w:val="left" w:pos="612"/>
      </w:tabs>
      <w:spacing w:before="120" w:after="120" w:line="360" w:lineRule="auto"/>
      <w:ind w:left="573" w:hanging="573"/>
      <w:outlineLvl w:val="1"/>
    </w:pPr>
    <w:rPr>
      <w:b w:val="0"/>
      <w:bCs w:val="0"/>
      <w:sz w:val="28"/>
      <w:szCs w:val="28"/>
    </w:rPr>
  </w:style>
  <w:style w:type="paragraph" w:styleId="4">
    <w:name w:val="heading 3"/>
    <w:basedOn w:val="3"/>
    <w:next w:val="1"/>
    <w:link w:val="45"/>
    <w:qFormat/>
    <w:uiPriority w:val="9"/>
    <w:pPr>
      <w:spacing w:before="260" w:after="260" w:line="416" w:lineRule="auto"/>
      <w:outlineLvl w:val="2"/>
    </w:pPr>
    <w:rPr>
      <w:b/>
      <w:bCs/>
      <w:sz w:val="32"/>
      <w:szCs w:val="32"/>
    </w:rPr>
  </w:style>
  <w:style w:type="paragraph" w:styleId="5">
    <w:name w:val="heading 4"/>
    <w:basedOn w:val="4"/>
    <w:next w:val="1"/>
    <w:link w:val="46"/>
    <w:qFormat/>
    <w:uiPriority w:val="0"/>
    <w:pPr>
      <w:overflowPunct w:val="0"/>
      <w:spacing w:after="0" w:line="240" w:lineRule="auto"/>
      <w:textAlignment w:val="baseline"/>
      <w:outlineLvl w:val="3"/>
    </w:pPr>
    <w:rPr>
      <w:rFonts w:ascii="Times New Roman" w:hAnsi="Times New Roman"/>
      <w:b w:val="0"/>
      <w:sz w:val="28"/>
      <w:szCs w:val="28"/>
      <w:lang w:val="en-GB"/>
    </w:rPr>
  </w:style>
  <w:style w:type="paragraph" w:styleId="6">
    <w:name w:val="heading 5"/>
    <w:basedOn w:val="5"/>
    <w:next w:val="1"/>
    <w:link w:val="47"/>
    <w:qFormat/>
    <w:uiPriority w:val="0"/>
    <w:pPr>
      <w:spacing w:beforeLines="50"/>
      <w:outlineLvl w:val="4"/>
    </w:pPr>
    <w:rPr>
      <w:b/>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ind w:firstLine="420"/>
    </w:pPr>
    <w:rPr>
      <w:kern w:val="2"/>
      <w:sz w:val="21"/>
      <w:szCs w:val="20"/>
    </w:rPr>
  </w:style>
  <w:style w:type="paragraph" w:styleId="15">
    <w:name w:val="caption"/>
    <w:basedOn w:val="1"/>
    <w:next w:val="1"/>
    <w:link w:val="48"/>
    <w:qFormat/>
    <w:uiPriority w:val="0"/>
    <w:pPr>
      <w:tabs>
        <w:tab w:val="left" w:pos="1418"/>
      </w:tabs>
      <w:spacing w:before="120"/>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49"/>
    <w:unhideWhenUsed/>
    <w:qFormat/>
    <w:uiPriority w:val="99"/>
    <w:rPr>
      <w:rFonts w:ascii="宋体"/>
      <w:sz w:val="18"/>
      <w:szCs w:val="18"/>
    </w:rPr>
  </w:style>
  <w:style w:type="paragraph" w:styleId="18">
    <w:name w:val="annotation text"/>
    <w:basedOn w:val="1"/>
    <w:link w:val="50"/>
    <w:unhideWhenUsed/>
    <w:qFormat/>
    <w:uiPriority w:val="99"/>
    <w:rPr>
      <w:szCs w:val="20"/>
    </w:rPr>
  </w:style>
  <w:style w:type="paragraph" w:styleId="19">
    <w:name w:val="Body Text"/>
    <w:basedOn w:val="1"/>
    <w:link w:val="51"/>
    <w:qFormat/>
    <w:uiPriority w:val="0"/>
    <w:pPr>
      <w:widowControl w:val="0"/>
      <w:spacing w:after="0"/>
    </w:pPr>
    <w:rPr>
      <w:color w:val="0000FF"/>
      <w:kern w:val="2"/>
      <w:sz w:val="21"/>
      <w:szCs w:val="20"/>
    </w:rPr>
  </w:style>
  <w:style w:type="paragraph" w:styleId="20">
    <w:name w:val="Body Text Indent"/>
    <w:basedOn w:val="1"/>
    <w:link w:val="52"/>
    <w:unhideWhenUsed/>
    <w:qFormat/>
    <w:uiPriority w:val="99"/>
    <w:pPr>
      <w:ind w:left="420" w:leftChars="200"/>
    </w:pPr>
  </w:style>
  <w:style w:type="paragraph" w:styleId="21">
    <w:name w:val="Plain Text"/>
    <w:basedOn w:val="1"/>
    <w:link w:val="53"/>
    <w:unhideWhenUsed/>
    <w:qFormat/>
    <w:uiPriority w:val="99"/>
    <w:pPr>
      <w:spacing w:after="0"/>
    </w:pPr>
    <w:rPr>
      <w:rFonts w:eastAsia="Calibri"/>
      <w:szCs w:val="21"/>
      <w:lang w:val="en-GB" w:eastAsia="en-US"/>
    </w:rPr>
  </w:style>
  <w:style w:type="paragraph" w:styleId="22">
    <w:name w:val="Date"/>
    <w:basedOn w:val="1"/>
    <w:next w:val="1"/>
    <w:link w:val="54"/>
    <w:unhideWhenUsed/>
    <w:qFormat/>
    <w:uiPriority w:val="99"/>
    <w:pPr>
      <w:ind w:left="100" w:leftChars="2500"/>
    </w:pPr>
  </w:style>
  <w:style w:type="paragraph" w:styleId="23">
    <w:name w:val="Balloon Text"/>
    <w:basedOn w:val="1"/>
    <w:link w:val="42"/>
    <w:unhideWhenUsed/>
    <w:qFormat/>
    <w:uiPriority w:val="99"/>
    <w:pPr>
      <w:spacing w:after="0"/>
    </w:pPr>
    <w:rPr>
      <w:rFonts w:ascii="Tahoma" w:hAnsi="Tahoma"/>
      <w:sz w:val="16"/>
      <w:szCs w:val="16"/>
    </w:rPr>
  </w:style>
  <w:style w:type="paragraph" w:styleId="24">
    <w:name w:val="footer"/>
    <w:basedOn w:val="1"/>
    <w:link w:val="55"/>
    <w:unhideWhenUsed/>
    <w:qFormat/>
    <w:uiPriority w:val="99"/>
    <w:pPr>
      <w:tabs>
        <w:tab w:val="center" w:pos="4153"/>
        <w:tab w:val="right" w:pos="8306"/>
      </w:tabs>
    </w:pPr>
    <w:rPr>
      <w:sz w:val="18"/>
      <w:szCs w:val="18"/>
    </w:rPr>
  </w:style>
  <w:style w:type="paragraph" w:styleId="25">
    <w:name w:val="header"/>
    <w:basedOn w:val="1"/>
    <w:link w:val="56"/>
    <w:qFormat/>
    <w:uiPriority w:val="99"/>
    <w:pPr>
      <w:tabs>
        <w:tab w:val="center" w:pos="4536"/>
        <w:tab w:val="right" w:pos="9072"/>
      </w:tabs>
      <w:spacing w:after="0"/>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pPr>
    <w:rPr>
      <w:rFonts w:ascii="宋体" w:hAnsi="宋体" w:cs="宋体"/>
      <w:sz w:val="24"/>
      <w:szCs w:val="24"/>
    </w:rPr>
  </w:style>
  <w:style w:type="paragraph" w:styleId="29">
    <w:name w:val="annotation subject"/>
    <w:basedOn w:val="18"/>
    <w:next w:val="18"/>
    <w:link w:val="57"/>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rPr>
  </w:style>
  <w:style w:type="character" w:styleId="34">
    <w:name w:val="endnote reference"/>
    <w:unhideWhenUsed/>
    <w:qFormat/>
    <w:uiPriority w:val="99"/>
    <w:rPr>
      <w:vertAlign w:val="superscript"/>
    </w:rPr>
  </w:style>
  <w:style w:type="character" w:styleId="35">
    <w:name w:val="page number"/>
    <w:basedOn w:val="32"/>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标题 1 字符"/>
    <w:link w:val="2"/>
    <w:qFormat/>
    <w:uiPriority w:val="99"/>
    <w:rPr>
      <w:rFonts w:ascii="Arial" w:hAnsi="Arial" w:eastAsia="黑体"/>
      <w:b/>
      <w:bCs/>
      <w:sz w:val="30"/>
      <w:szCs w:val="30"/>
      <w:lang w:val="zh-CN"/>
    </w:rPr>
  </w:style>
  <w:style w:type="character" w:customStyle="1" w:styleId="44">
    <w:name w:val="标题 2 字符"/>
    <w:link w:val="3"/>
    <w:qFormat/>
    <w:uiPriority w:val="0"/>
    <w:rPr>
      <w:rFonts w:ascii="Arial" w:hAnsi="Arial" w:eastAsia="黑体"/>
      <w:b/>
      <w:bCs/>
      <w:sz w:val="28"/>
      <w:szCs w:val="28"/>
    </w:rPr>
  </w:style>
  <w:style w:type="character" w:customStyle="1" w:styleId="45">
    <w:name w:val="标题 3 字符"/>
    <w:link w:val="4"/>
    <w:semiHidden/>
    <w:qFormat/>
    <w:uiPriority w:val="9"/>
    <w:rPr>
      <w:b/>
      <w:bCs/>
      <w:sz w:val="32"/>
      <w:szCs w:val="32"/>
    </w:rPr>
  </w:style>
  <w:style w:type="character" w:customStyle="1" w:styleId="46">
    <w:name w:val="标题 4 字符"/>
    <w:link w:val="5"/>
    <w:qFormat/>
    <w:uiPriority w:val="0"/>
    <w:rPr>
      <w:rFonts w:ascii="Times New Roman" w:hAnsi="Times New Roman"/>
      <w:b/>
      <w:sz w:val="28"/>
      <w:szCs w:val="28"/>
      <w:lang w:val="en-GB"/>
    </w:rPr>
  </w:style>
  <w:style w:type="character" w:customStyle="1" w:styleId="47">
    <w:name w:val="标题 5 字符"/>
    <w:link w:val="6"/>
    <w:qFormat/>
    <w:uiPriority w:val="0"/>
    <w:rPr>
      <w:rFonts w:ascii="Times New Roman" w:hAnsi="Times New Roman"/>
      <w:b/>
      <w:sz w:val="24"/>
      <w:szCs w:val="24"/>
      <w:lang w:val="en-GB"/>
    </w:rPr>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文档结构图 字符"/>
    <w:link w:val="17"/>
    <w:semiHidden/>
    <w:qFormat/>
    <w:uiPriority w:val="99"/>
    <w:rPr>
      <w:rFonts w:ascii="宋体"/>
      <w:sz w:val="18"/>
      <w:szCs w:val="18"/>
    </w:rPr>
  </w:style>
  <w:style w:type="character" w:customStyle="1" w:styleId="50">
    <w:name w:val="批注文字 字符"/>
    <w:basedOn w:val="32"/>
    <w:link w:val="18"/>
    <w:qFormat/>
    <w:uiPriority w:val="99"/>
  </w:style>
  <w:style w:type="character" w:customStyle="1" w:styleId="51">
    <w:name w:val="正文文本 字符"/>
    <w:link w:val="19"/>
    <w:qFormat/>
    <w:uiPriority w:val="0"/>
    <w:rPr>
      <w:rFonts w:ascii="Times New Roman" w:hAnsi="Times New Roman"/>
      <w:color w:val="0000FF"/>
      <w:kern w:val="2"/>
      <w:sz w:val="21"/>
    </w:rPr>
  </w:style>
  <w:style w:type="character" w:customStyle="1" w:styleId="52">
    <w:name w:val="正文文本缩进 字符"/>
    <w:link w:val="20"/>
    <w:qFormat/>
    <w:uiPriority w:val="99"/>
    <w:rPr>
      <w:sz w:val="22"/>
      <w:szCs w:val="22"/>
    </w:rPr>
  </w:style>
  <w:style w:type="character" w:customStyle="1" w:styleId="53">
    <w:name w:val="纯文本 字符"/>
    <w:link w:val="21"/>
    <w:qFormat/>
    <w:uiPriority w:val="99"/>
    <w:rPr>
      <w:rFonts w:eastAsia="Calibri"/>
      <w:sz w:val="22"/>
      <w:szCs w:val="21"/>
      <w:lang w:val="en-GB" w:eastAsia="en-US"/>
    </w:rPr>
  </w:style>
  <w:style w:type="character" w:customStyle="1" w:styleId="54">
    <w:name w:val="日期 字符"/>
    <w:link w:val="22"/>
    <w:semiHidden/>
    <w:qFormat/>
    <w:uiPriority w:val="99"/>
    <w:rPr>
      <w:sz w:val="22"/>
      <w:szCs w:val="22"/>
    </w:rPr>
  </w:style>
  <w:style w:type="character" w:customStyle="1" w:styleId="55">
    <w:name w:val="页脚 字符"/>
    <w:link w:val="24"/>
    <w:qFormat/>
    <w:uiPriority w:val="99"/>
    <w:rPr>
      <w:sz w:val="18"/>
      <w:szCs w:val="18"/>
    </w:rPr>
  </w:style>
  <w:style w:type="character" w:customStyle="1" w:styleId="56">
    <w:name w:val="页眉 字符"/>
    <w:link w:val="25"/>
    <w:qFormat/>
    <w:uiPriority w:val="99"/>
    <w:rPr>
      <w:rFonts w:ascii="Arial" w:hAnsi="Arial" w:eastAsia="MS Mincho"/>
      <w:b/>
      <w:szCs w:val="24"/>
      <w:lang w:eastAsia="en-US"/>
    </w:rPr>
  </w:style>
  <w:style w:type="character" w:customStyle="1" w:styleId="57">
    <w:name w:val="批注主题 字符"/>
    <w:link w:val="29"/>
    <w:semiHidden/>
    <w:qFormat/>
    <w:uiPriority w:val="99"/>
    <w:rPr>
      <w:b/>
      <w:bCs/>
    </w:rPr>
  </w:style>
  <w:style w:type="character" w:customStyle="1" w:styleId="58">
    <w:name w:val="advert-money"/>
    <w:qFormat/>
    <w:uiPriority w:val="0"/>
    <w:rPr>
      <w:b/>
      <w:color w:val="FC5531"/>
      <w:sz w:val="24"/>
      <w:szCs w:val="24"/>
    </w:rPr>
  </w:style>
  <w:style w:type="character" w:customStyle="1" w:styleId="59">
    <w:name w:val="short_text"/>
    <w:basedOn w:val="32"/>
    <w:qFormat/>
    <w:uiPriority w:val="0"/>
  </w:style>
  <w:style w:type="character" w:customStyle="1" w:styleId="60">
    <w:name w:val="font21"/>
    <w:qFormat/>
    <w:uiPriority w:val="0"/>
    <w:rPr>
      <w:rFonts w:hint="default" w:ascii="Times New Roman" w:hAnsi="Times New Roman" w:cs="Times New Roman"/>
      <w:color w:val="000000"/>
      <w:sz w:val="22"/>
      <w:szCs w:val="22"/>
      <w:u w:val="none"/>
    </w:rPr>
  </w:style>
  <w:style w:type="character" w:customStyle="1" w:styleId="61">
    <w:name w:val="quote1"/>
    <w:qFormat/>
    <w:uiPriority w:val="0"/>
    <w:rPr>
      <w:color w:val="6B6B6B"/>
      <w:sz w:val="18"/>
      <w:szCs w:val="18"/>
    </w:rPr>
  </w:style>
  <w:style w:type="character" w:customStyle="1" w:styleId="62">
    <w:name w:val="hover6"/>
    <w:qFormat/>
    <w:uiPriority w:val="0"/>
    <w:rPr>
      <w:color w:val="FC5531"/>
      <w:bdr w:val="single" w:color="FC5531" w:sz="6" w:space="0"/>
    </w:rPr>
  </w:style>
  <w:style w:type="character" w:customStyle="1" w:styleId="63">
    <w:name w:val="count"/>
    <w:qFormat/>
    <w:uiPriority w:val="0"/>
    <w:rPr>
      <w:color w:val="999AAA"/>
      <w:sz w:val="18"/>
      <w:szCs w:val="18"/>
    </w:rPr>
  </w:style>
  <w:style w:type="character" w:customStyle="1" w:styleId="64">
    <w:name w:val="hps"/>
    <w:basedOn w:val="32"/>
    <w:qFormat/>
    <w:uiPriority w:val="0"/>
  </w:style>
  <w:style w:type="character" w:customStyle="1" w:styleId="65">
    <w:name w:val="txt"/>
    <w:basedOn w:val="32"/>
    <w:qFormat/>
    <w:uiPriority w:val="0"/>
  </w:style>
  <w:style w:type="character" w:customStyle="1" w:styleId="66">
    <w:name w:val="red"/>
    <w:qFormat/>
    <w:uiPriority w:val="0"/>
    <w:rPr>
      <w:color w:val="FF0000"/>
    </w:rPr>
  </w:style>
  <w:style w:type="character" w:customStyle="1" w:styleId="67">
    <w:name w:val="advert-count-people"/>
    <w:qFormat/>
    <w:uiPriority w:val="0"/>
    <w:rPr>
      <w:color w:val="FC5531"/>
      <w:sz w:val="21"/>
      <w:szCs w:val="21"/>
    </w:rPr>
  </w:style>
  <w:style w:type="character" w:customStyle="1" w:styleId="68">
    <w:name w:val="z-窗体底端 Char"/>
    <w:link w:val="69"/>
    <w:semiHidden/>
    <w:qFormat/>
    <w:uiPriority w:val="99"/>
    <w:rPr>
      <w:rFonts w:ascii="Arial" w:hAnsi="Arial" w:cs="Arial"/>
      <w:vanish/>
      <w:sz w:val="16"/>
      <w:szCs w:val="16"/>
    </w:rPr>
  </w:style>
  <w:style w:type="paragraph" w:customStyle="1" w:styleId="69">
    <w:name w:val="_Style 43"/>
    <w:basedOn w:val="1"/>
    <w:next w:val="1"/>
    <w:link w:val="68"/>
    <w:unhideWhenUsed/>
    <w:qFormat/>
    <w:uiPriority w:val="99"/>
    <w:pPr>
      <w:pBdr>
        <w:top w:val="single" w:color="auto" w:sz="6" w:space="1"/>
      </w:pBdr>
      <w:spacing w:after="0"/>
      <w:jc w:val="center"/>
    </w:pPr>
    <w:rPr>
      <w:rFonts w:ascii="Arial" w:hAnsi="Arial"/>
      <w:vanish/>
      <w:sz w:val="16"/>
      <w:szCs w:val="16"/>
    </w:rPr>
  </w:style>
  <w:style w:type="character" w:customStyle="1" w:styleId="70">
    <w:name w:val="tip"/>
    <w:qFormat/>
    <w:uiPriority w:val="0"/>
    <w:rPr>
      <w:color w:val="999AAA"/>
      <w:sz w:val="18"/>
      <w:szCs w:val="18"/>
    </w:rPr>
  </w:style>
  <w:style w:type="character" w:customStyle="1" w:styleId="71">
    <w:name w:val="font41"/>
    <w:qFormat/>
    <w:uiPriority w:val="0"/>
    <w:rPr>
      <w:rFonts w:hint="default" w:ascii="Times New Roman" w:hAnsi="Times New Roman" w:cs="Times New Roman"/>
      <w:color w:val="000000"/>
      <w:sz w:val="20"/>
      <w:szCs w:val="20"/>
      <w:u w:val="none"/>
    </w:rPr>
  </w:style>
  <w:style w:type="character" w:customStyle="1" w:styleId="72">
    <w:name w:val="toolbar-adver-btn"/>
    <w:qFormat/>
    <w:uiPriority w:val="0"/>
    <w:rPr>
      <w:color w:val="FFFFFF"/>
      <w:sz w:val="33"/>
      <w:szCs w:val="33"/>
    </w:rPr>
  </w:style>
  <w:style w:type="character" w:customStyle="1" w:styleId="73">
    <w:name w:val="10"/>
    <w:qFormat/>
    <w:uiPriority w:val="0"/>
    <w:rPr>
      <w:rFonts w:hint="default" w:ascii="Times New Roman" w:hAnsi="Times New Roman" w:cs="Times New Roman"/>
    </w:rPr>
  </w:style>
  <w:style w:type="character" w:customStyle="1" w:styleId="74">
    <w:name w:val="nth-child(3n+1)"/>
    <w:basedOn w:val="32"/>
    <w:qFormat/>
    <w:uiPriority w:val="0"/>
  </w:style>
  <w:style w:type="character" w:customStyle="1" w:styleId="75">
    <w:name w:val="列表段落 字符"/>
    <w:link w:val="76"/>
    <w:qFormat/>
    <w:locked/>
    <w:uiPriority w:val="34"/>
    <w:rPr>
      <w:rFonts w:ascii="Times New Roman" w:hAnsi="Times New Roman"/>
      <w:kern w:val="2"/>
      <w:sz w:val="21"/>
      <w:szCs w:val="24"/>
    </w:rPr>
  </w:style>
  <w:style w:type="paragraph" w:styleId="76">
    <w:name w:val="List Paragraph"/>
    <w:basedOn w:val="1"/>
    <w:link w:val="75"/>
    <w:qFormat/>
    <w:uiPriority w:val="34"/>
    <w:pPr>
      <w:widowControl w:val="0"/>
      <w:spacing w:after="0"/>
      <w:ind w:firstLine="420" w:firstLineChars="200"/>
    </w:pPr>
    <w:rPr>
      <w:rFonts w:ascii="Calibri" w:hAnsi="Calibri" w:eastAsia="Calibri"/>
      <w:sz w:val="22"/>
    </w:rPr>
  </w:style>
  <w:style w:type="character" w:customStyle="1" w:styleId="77">
    <w:name w:val="Doc-text2 Char"/>
    <w:link w:val="78"/>
    <w:qFormat/>
    <w:uiPriority w:val="0"/>
    <w:rPr>
      <w:rFonts w:ascii="Arial" w:hAnsi="Arial" w:eastAsia="MS Mincho"/>
      <w:szCs w:val="24"/>
      <w:lang w:val="en-GB" w:eastAsia="en-GB"/>
    </w:rPr>
  </w:style>
  <w:style w:type="paragraph" w:customStyle="1" w:styleId="78">
    <w:name w:val="Doc-text2"/>
    <w:basedOn w:val="1"/>
    <w:link w:val="77"/>
    <w:qFormat/>
    <w:uiPriority w:val="0"/>
    <w:pPr>
      <w:tabs>
        <w:tab w:val="left" w:pos="1622"/>
      </w:tabs>
      <w:spacing w:after="0"/>
      <w:ind w:left="1622" w:hanging="363"/>
    </w:pPr>
    <w:rPr>
      <w:rFonts w:ascii="Arial" w:hAnsi="Arial"/>
      <w:szCs w:val="24"/>
      <w:lang w:val="en-GB" w:eastAsia="en-GB"/>
    </w:rPr>
  </w:style>
  <w:style w:type="character" w:customStyle="1" w:styleId="79">
    <w:name w:val="countx"/>
    <w:qFormat/>
    <w:uiPriority w:val="0"/>
    <w:rPr>
      <w:sz w:val="18"/>
      <w:szCs w:val="18"/>
    </w:rPr>
  </w:style>
  <w:style w:type="character" w:customStyle="1" w:styleId="80">
    <w:name w:val="quote2"/>
    <w:qFormat/>
    <w:uiPriority w:val="0"/>
    <w:rPr>
      <w:color w:val="6B6B6B"/>
      <w:sz w:val="18"/>
      <w:szCs w:val="18"/>
    </w:rPr>
  </w:style>
  <w:style w:type="character" w:customStyle="1" w:styleId="81">
    <w:name w:val="font01"/>
    <w:qFormat/>
    <w:uiPriority w:val="0"/>
    <w:rPr>
      <w:rFonts w:hint="default" w:ascii="Times New Roman" w:hAnsi="Times New Roman" w:cs="Times New Roman"/>
      <w:color w:val="000000"/>
      <w:sz w:val="20"/>
      <w:szCs w:val="20"/>
      <w:u w:val="none"/>
      <w:vertAlign w:val="superscript"/>
    </w:rPr>
  </w:style>
  <w:style w:type="character" w:customStyle="1" w:styleId="82">
    <w:name w:val="quote3"/>
    <w:qFormat/>
    <w:uiPriority w:val="0"/>
    <w:rPr>
      <w:color w:val="6B6B6B"/>
      <w:sz w:val="18"/>
      <w:szCs w:val="18"/>
    </w:rPr>
  </w:style>
  <w:style w:type="character" w:customStyle="1" w:styleId="83">
    <w:name w:val="z-窗体顶端 Char"/>
    <w:link w:val="84"/>
    <w:semiHidden/>
    <w:qFormat/>
    <w:uiPriority w:val="99"/>
    <w:rPr>
      <w:rFonts w:ascii="Arial" w:hAnsi="Arial" w:cs="Arial"/>
      <w:vanish/>
      <w:sz w:val="16"/>
      <w:szCs w:val="16"/>
    </w:rPr>
  </w:style>
  <w:style w:type="paragraph" w:customStyle="1" w:styleId="84">
    <w:name w:val="_Style 42"/>
    <w:basedOn w:val="1"/>
    <w:next w:val="1"/>
    <w:link w:val="83"/>
    <w:unhideWhenUsed/>
    <w:qFormat/>
    <w:uiPriority w:val="99"/>
    <w:pPr>
      <w:pBdr>
        <w:bottom w:val="single" w:color="auto" w:sz="6" w:space="1"/>
      </w:pBdr>
      <w:spacing w:after="0"/>
      <w:jc w:val="center"/>
    </w:pPr>
    <w:rPr>
      <w:rFonts w:ascii="Arial" w:hAnsi="Arial"/>
      <w:vanish/>
      <w:sz w:val="16"/>
      <w:szCs w:val="16"/>
    </w:rPr>
  </w:style>
  <w:style w:type="character" w:customStyle="1" w:styleId="85">
    <w:name w:val="TAH Car"/>
    <w:qFormat/>
    <w:locked/>
    <w:uiPriority w:val="0"/>
    <w:rPr>
      <w:rFonts w:ascii="Arial" w:hAnsi="Arial" w:eastAsia="Times New Roman"/>
      <w:b/>
      <w:sz w:val="18"/>
    </w:rPr>
  </w:style>
  <w:style w:type="character" w:customStyle="1" w:styleId="86">
    <w:name w:val="hot-word-count"/>
    <w:qFormat/>
    <w:uiPriority w:val="0"/>
    <w:rPr>
      <w:color w:val="FC5531"/>
    </w:rPr>
  </w:style>
  <w:style w:type="character" w:customStyle="1" w:styleId="87">
    <w:name w:val="count1"/>
    <w:qFormat/>
    <w:uiPriority w:val="0"/>
    <w:rPr>
      <w:color w:val="555666"/>
      <w:sz w:val="21"/>
      <w:szCs w:val="21"/>
    </w:rPr>
  </w:style>
  <w:style w:type="character" w:customStyle="1" w:styleId="88">
    <w:name w:val="name10"/>
    <w:qFormat/>
    <w:uiPriority w:val="0"/>
    <w:rPr>
      <w:color w:val="555666"/>
      <w:sz w:val="21"/>
      <w:szCs w:val="21"/>
    </w:rPr>
  </w:style>
  <w:style w:type="character" w:customStyle="1" w:styleId="89">
    <w:name w:val="keyword"/>
    <w:basedOn w:val="32"/>
    <w:qFormat/>
    <w:uiPriority w:val="0"/>
  </w:style>
  <w:style w:type="character" w:customStyle="1" w:styleId="90">
    <w:name w:val="text10"/>
    <w:qFormat/>
    <w:uiPriority w:val="0"/>
    <w:rPr>
      <w:vertAlign w:val="superscript"/>
    </w:rPr>
  </w:style>
  <w:style w:type="character" w:customStyle="1" w:styleId="91">
    <w:name w:val="TH Char"/>
    <w:link w:val="92"/>
    <w:qFormat/>
    <w:uiPriority w:val="0"/>
    <w:rPr>
      <w:rFonts w:ascii="Arial" w:hAnsi="Arial"/>
      <w:b/>
      <w:lang w:val="en-GB" w:eastAsia="en-US"/>
    </w:rPr>
  </w:style>
  <w:style w:type="paragraph" w:customStyle="1" w:styleId="92">
    <w:name w:val="TH"/>
    <w:basedOn w:val="1"/>
    <w:link w:val="91"/>
    <w:qFormat/>
    <w:uiPriority w:val="0"/>
    <w:pPr>
      <w:keepNext/>
      <w:keepLines/>
      <w:spacing w:before="60" w:after="180"/>
      <w:jc w:val="center"/>
    </w:pPr>
    <w:rPr>
      <w:rFonts w:ascii="Arial" w:hAnsi="Arial"/>
      <w:b/>
      <w:szCs w:val="20"/>
      <w:lang w:val="en-GB" w:eastAsia="en-US"/>
    </w:rPr>
  </w:style>
  <w:style w:type="character" w:customStyle="1" w:styleId="93">
    <w:name w:val="apple-converted-space"/>
    <w:basedOn w:val="32"/>
    <w:qFormat/>
    <w:uiPriority w:val="0"/>
  </w:style>
  <w:style w:type="character" w:customStyle="1" w:styleId="94">
    <w:name w:val="引用1"/>
    <w:qFormat/>
    <w:uiPriority w:val="0"/>
    <w:rPr>
      <w:color w:val="6B6B6B"/>
      <w:sz w:val="18"/>
      <w:szCs w:val="18"/>
    </w:rPr>
  </w:style>
  <w:style w:type="character" w:customStyle="1" w:styleId="95">
    <w:name w:val="B1 (文字)"/>
    <w:link w:val="96"/>
    <w:qFormat/>
    <w:locked/>
    <w:uiPriority w:val="0"/>
    <w:rPr>
      <w:rFonts w:ascii="Times New Roman" w:hAnsi="Times New Roman" w:eastAsia="宋体"/>
      <w:lang w:val="en-GB" w:eastAsia="en-US"/>
    </w:rPr>
  </w:style>
  <w:style w:type="paragraph" w:customStyle="1" w:styleId="96">
    <w:name w:val="B1"/>
    <w:basedOn w:val="13"/>
    <w:link w:val="95"/>
    <w:qFormat/>
    <w:uiPriority w:val="0"/>
    <w:pPr>
      <w:spacing w:after="180"/>
      <w:ind w:left="568" w:hanging="284" w:firstLineChars="0"/>
    </w:pPr>
    <w:rPr>
      <w:szCs w:val="20"/>
      <w:lang w:val="en-GB" w:eastAsia="en-US"/>
    </w:rPr>
  </w:style>
  <w:style w:type="character" w:customStyle="1" w:styleId="97">
    <w:name w:val="15"/>
    <w:qFormat/>
    <w:uiPriority w:val="0"/>
    <w:rPr>
      <w:rFonts w:hint="default" w:ascii="Times New Roman" w:hAnsi="Times New Roman" w:cs="Times New Roman"/>
    </w:rPr>
  </w:style>
  <w:style w:type="character" w:customStyle="1" w:styleId="98">
    <w:name w:val="ZGSM"/>
    <w:qFormat/>
    <w:uiPriority w:val="0"/>
  </w:style>
  <w:style w:type="character" w:customStyle="1" w:styleId="99">
    <w:name w:val="reward-close"/>
    <w:basedOn w:val="32"/>
    <w:qFormat/>
    <w:uiPriority w:val="0"/>
  </w:style>
  <w:style w:type="character" w:customStyle="1" w:styleId="100">
    <w:name w:val="TAH Char"/>
    <w:link w:val="101"/>
    <w:qFormat/>
    <w:locked/>
    <w:uiPriority w:val="0"/>
    <w:rPr>
      <w:rFonts w:ascii="Arial" w:hAnsi="Arial"/>
      <w:b/>
      <w:sz w:val="18"/>
      <w:lang w:val="en-GB" w:eastAsia="en-US"/>
    </w:rPr>
  </w:style>
  <w:style w:type="paragraph" w:customStyle="1" w:styleId="101">
    <w:name w:val="TAH"/>
    <w:basedOn w:val="102"/>
    <w:link w:val="100"/>
    <w:qFormat/>
    <w:uiPriority w:val="0"/>
    <w:rPr>
      <w:b/>
    </w:rPr>
  </w:style>
  <w:style w:type="paragraph" w:customStyle="1" w:styleId="102">
    <w:name w:val="TAC"/>
    <w:basedOn w:val="103"/>
    <w:qFormat/>
    <w:uiPriority w:val="0"/>
    <w:pPr>
      <w:jc w:val="center"/>
    </w:pPr>
    <w:rPr>
      <w:szCs w:val="20"/>
      <w:lang w:val="en-GB" w:eastAsia="en-US"/>
    </w:rPr>
  </w:style>
  <w:style w:type="paragraph" w:customStyle="1" w:styleId="103">
    <w:name w:val="TAL"/>
    <w:basedOn w:val="1"/>
    <w:qFormat/>
    <w:uiPriority w:val="0"/>
    <w:pPr>
      <w:keepNext/>
      <w:keepLines/>
      <w:spacing w:after="0"/>
    </w:pPr>
    <w:rPr>
      <w:rFonts w:ascii="Arial" w:hAnsi="Arial"/>
      <w:sz w:val="18"/>
    </w:rPr>
  </w:style>
  <w:style w:type="character" w:customStyle="1" w:styleId="104">
    <w:name w:val="hot-word-bar"/>
    <w:qFormat/>
    <w:uiPriority w:val="0"/>
    <w:rPr>
      <w:shd w:val="clear" w:color="auto" w:fill="B1B1B1"/>
    </w:rPr>
  </w:style>
  <w:style w:type="character" w:customStyle="1" w:styleId="105">
    <w:name w:val="choosed"/>
    <w:qFormat/>
    <w:uiPriority w:val="0"/>
    <w:rPr>
      <w:color w:val="FC5531"/>
      <w:bdr w:val="single" w:color="FC5531" w:sz="6" w:space="0"/>
    </w:rPr>
  </w:style>
  <w:style w:type="character" w:customStyle="1" w:styleId="106">
    <w:name w:val="font11"/>
    <w:qFormat/>
    <w:uiPriority w:val="0"/>
    <w:rPr>
      <w:rFonts w:hint="default" w:ascii="Times New Roman" w:hAnsi="Times New Roman" w:cs="Times New Roman"/>
      <w:color w:val="000000"/>
      <w:sz w:val="22"/>
      <w:szCs w:val="22"/>
      <w:u w:val="none"/>
    </w:rPr>
  </w:style>
  <w:style w:type="paragraph" w:customStyle="1" w:styleId="10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8">
    <w:name w:val="tableheader"/>
    <w:basedOn w:val="1"/>
    <w:qFormat/>
    <w:uiPriority w:val="0"/>
    <w:pPr>
      <w:spacing w:before="40" w:after="40"/>
      <w:jc w:val="center"/>
    </w:pPr>
    <w:rPr>
      <w:rFonts w:cs="Calibri"/>
      <w:b/>
      <w:bCs/>
      <w:color w:val="000000"/>
      <w:lang w:eastAsia="en-US"/>
    </w:rPr>
  </w:style>
  <w:style w:type="paragraph" w:customStyle="1" w:styleId="109">
    <w:name w:val="Agreement"/>
    <w:basedOn w:val="1"/>
    <w:next w:val="78"/>
    <w:qFormat/>
    <w:uiPriority w:val="0"/>
    <w:pPr>
      <w:numPr>
        <w:ilvl w:val="0"/>
        <w:numId w:val="3"/>
      </w:numPr>
      <w:spacing w:before="60"/>
    </w:pPr>
    <w:rPr>
      <w:b/>
    </w:rPr>
  </w:style>
  <w:style w:type="paragraph" w:customStyle="1" w:styleId="110">
    <w:name w:val="列出段落1"/>
    <w:basedOn w:val="1"/>
    <w:qFormat/>
    <w:uiPriority w:val="72"/>
    <w:pPr>
      <w:spacing w:after="0"/>
      <w:ind w:firstLine="420" w:firstLineChars="200"/>
    </w:pPr>
    <w:rPr>
      <w:rFonts w:ascii="宋体" w:hAnsi="宋体"/>
      <w:sz w:val="24"/>
      <w:szCs w:val="24"/>
    </w:rPr>
  </w:style>
  <w:style w:type="paragraph" w:customStyle="1" w:styleId="111">
    <w:name w:val="表格文字居左"/>
    <w:basedOn w:val="1"/>
    <w:next w:val="1"/>
    <w:qFormat/>
    <w:uiPriority w:val="0"/>
    <w:pPr>
      <w:widowControl w:val="0"/>
      <w:spacing w:after="0"/>
    </w:pPr>
    <w:rPr>
      <w:rFonts w:ascii="Arial" w:hAnsi="Arial" w:cs="宋体"/>
      <w:kern w:val="2"/>
      <w:sz w:val="21"/>
      <w:szCs w:val="20"/>
    </w:rPr>
  </w:style>
  <w:style w:type="paragraph" w:customStyle="1" w:styleId="112">
    <w:name w:val="LGTdoc_제목1"/>
    <w:basedOn w:val="1"/>
    <w:qFormat/>
    <w:uiPriority w:val="0"/>
    <w:pPr>
      <w:adjustRightInd w:val="0"/>
      <w:spacing w:beforeLines="50" w:after="100" w:afterAutospacing="1"/>
    </w:pPr>
    <w:rPr>
      <w:rFonts w:eastAsia="Batang"/>
      <w:b/>
      <w:sz w:val="28"/>
      <w:szCs w:val="20"/>
      <w:lang w:val="en-GB" w:eastAsia="ko-KR"/>
    </w:rPr>
  </w:style>
  <w:style w:type="paragraph" w:customStyle="1" w:styleId="113">
    <w:name w:val="List Paragraph11"/>
    <w:basedOn w:val="1"/>
    <w:qFormat/>
    <w:uiPriority w:val="34"/>
    <w:pPr>
      <w:spacing w:after="0"/>
      <w:ind w:left="720"/>
    </w:pPr>
    <w:rPr>
      <w:rFonts w:ascii="Calibri" w:hAnsi="Calibri" w:eastAsia="Calibri"/>
      <w:sz w:val="22"/>
    </w:rPr>
  </w:style>
  <w:style w:type="paragraph" w:customStyle="1" w:styleId="114">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15">
    <w:name w:val="Observation"/>
    <w:basedOn w:val="116"/>
    <w:qFormat/>
    <w:uiPriority w:val="0"/>
    <w:pPr>
      <w:numPr>
        <w:ilvl w:val="0"/>
        <w:numId w:val="4"/>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_Style 116"/>
    <w:unhideWhenUsed/>
    <w:qFormat/>
    <w:uiPriority w:val="99"/>
    <w:rPr>
      <w:rFonts w:ascii="Times New Roman" w:hAnsi="Times New Roman" w:eastAsia="宋体" w:cs="Times New Roman"/>
      <w:szCs w:val="22"/>
      <w:lang w:val="en-US" w:eastAsia="zh-CN" w:bidi="ar-SA"/>
    </w:rPr>
  </w:style>
  <w:style w:type="paragraph" w:customStyle="1" w:styleId="118">
    <w:name w:val="EW"/>
    <w:basedOn w:val="119"/>
    <w:qFormat/>
    <w:uiPriority w:val="0"/>
    <w:pPr>
      <w:spacing w:after="0"/>
    </w:pPr>
  </w:style>
  <w:style w:type="paragraph" w:customStyle="1" w:styleId="119">
    <w:name w:val="EX"/>
    <w:basedOn w:val="1"/>
    <w:qFormat/>
    <w:uiPriority w:val="99"/>
    <w:pPr>
      <w:keepLines/>
      <w:ind w:left="1702" w:hanging="1418"/>
    </w:pPr>
  </w:style>
  <w:style w:type="paragraph" w:customStyle="1" w:styleId="120">
    <w:name w:val="B4"/>
    <w:basedOn w:val="27"/>
    <w:qFormat/>
    <w:uiPriority w:val="0"/>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22">
    <w:name w:val="PropObs"/>
    <w:basedOn w:val="1"/>
    <w:qFormat/>
    <w:uiPriority w:val="0"/>
    <w:pPr>
      <w:numPr>
        <w:ilvl w:val="0"/>
        <w:numId w:val="5"/>
      </w:numPr>
      <w:ind w:left="1134" w:hanging="1134"/>
    </w:pPr>
    <w:rPr>
      <w:rFonts w:ascii="Calibri" w:hAnsi="Calibri" w:eastAsia="MS Mincho"/>
      <w:b/>
      <w:szCs w:val="20"/>
      <w:lang w:eastAsia="sv-SE"/>
    </w:rPr>
  </w:style>
  <w:style w:type="paragraph" w:customStyle="1" w:styleId="12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4">
    <w:name w:val="TAR"/>
    <w:basedOn w:val="103"/>
    <w:qFormat/>
    <w:uiPriority w:val="0"/>
    <w:pPr>
      <w:jc w:val="right"/>
    </w:pPr>
  </w:style>
  <w:style w:type="paragraph" w:customStyle="1" w:styleId="125">
    <w:name w:val="B3"/>
    <w:basedOn w:val="11"/>
    <w:qFormat/>
    <w:uiPriority w:val="0"/>
  </w:style>
  <w:style w:type="paragraph" w:customStyle="1" w:styleId="126">
    <w:name w:val="tablecell"/>
    <w:basedOn w:val="1"/>
    <w:qFormat/>
    <w:uiPriority w:val="0"/>
    <w:pPr>
      <w:autoSpaceDE w:val="0"/>
      <w:autoSpaceDN w:val="0"/>
      <w:adjustRightInd w:val="0"/>
      <w:spacing w:before="40" w:after="40"/>
    </w:pPr>
    <w:rPr>
      <w:lang w:eastAsia="en-US"/>
    </w:rPr>
  </w:style>
  <w:style w:type="paragraph" w:customStyle="1" w:styleId="127">
    <w:name w:val="Test"/>
    <w:basedOn w:val="1"/>
    <w:qFormat/>
    <w:uiPriority w:val="0"/>
    <w:pPr>
      <w:spacing w:before="60" w:after="60" w:line="280" w:lineRule="atLeast"/>
      <w:ind w:left="2160"/>
    </w:pPr>
    <w:rPr>
      <w:szCs w:val="20"/>
      <w:lang w:val="en-GB" w:eastAsia="en-US"/>
    </w:rPr>
  </w:style>
  <w:style w:type="paragraph" w:customStyle="1" w:styleId="128">
    <w:name w:val="TF"/>
    <w:basedOn w:val="92"/>
    <w:qFormat/>
    <w:uiPriority w:val="0"/>
    <w:pPr>
      <w:keepNext w:val="0"/>
      <w:spacing w:before="0" w:after="240"/>
    </w:pPr>
  </w:style>
  <w:style w:type="paragraph" w:customStyle="1" w:styleId="129">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30">
    <w:name w:val="CR Cover Page"/>
    <w:qFormat/>
    <w:uiPriority w:val="0"/>
    <w:pPr>
      <w:spacing w:after="120" w:line="259" w:lineRule="auto"/>
    </w:pPr>
    <w:rPr>
      <w:rFonts w:ascii="Arial" w:hAnsi="Arial" w:eastAsia="宋体" w:cs="Times New Roman"/>
      <w:lang w:val="en-GB" w:eastAsia="en-US" w:bidi="ar-SA"/>
    </w:rPr>
  </w:style>
  <w:style w:type="paragraph" w:customStyle="1" w:styleId="131">
    <w:name w:val="_Style 1"/>
    <w:basedOn w:val="1"/>
    <w:qFormat/>
    <w:uiPriority w:val="34"/>
    <w:pPr>
      <w:widowControl w:val="0"/>
      <w:spacing w:after="0"/>
      <w:ind w:firstLine="420" w:firstLineChars="200"/>
    </w:pPr>
    <w:rPr>
      <w:kern w:val="2"/>
      <w:sz w:val="21"/>
      <w:szCs w:val="24"/>
    </w:rPr>
  </w:style>
  <w:style w:type="paragraph" w:customStyle="1" w:styleId="132">
    <w:name w:val="EQ"/>
    <w:basedOn w:val="1"/>
    <w:next w:val="1"/>
    <w:qFormat/>
    <w:uiPriority w:val="0"/>
    <w:pPr>
      <w:keepLines/>
      <w:tabs>
        <w:tab w:val="center" w:pos="4536"/>
        <w:tab w:val="right" w:pos="9072"/>
      </w:tabs>
    </w:pPr>
  </w:style>
  <w:style w:type="paragraph" w:customStyle="1" w:styleId="133">
    <w:name w:val="B2"/>
    <w:basedOn w:val="12"/>
    <w:qFormat/>
    <w:uiPriority w:val="0"/>
  </w:style>
  <w:style w:type="paragraph" w:customStyle="1" w:styleId="134">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35">
    <w:name w:val="TAN"/>
    <w:basedOn w:val="1"/>
    <w:qFormat/>
    <w:uiPriority w:val="0"/>
    <w:pPr>
      <w:keepNext/>
      <w:keepLines/>
      <w:spacing w:after="0"/>
      <w:ind w:left="851" w:hanging="851"/>
    </w:pPr>
    <w:rPr>
      <w:rFonts w:ascii="Arial" w:hAnsi="Arial"/>
      <w:sz w:val="18"/>
      <w:szCs w:val="20"/>
      <w:lang w:val="en-GB" w:eastAsia="en-US"/>
    </w:rPr>
  </w:style>
  <w:style w:type="paragraph" w:customStyle="1" w:styleId="136">
    <w:name w:val="References"/>
    <w:basedOn w:val="1"/>
    <w:qFormat/>
    <w:uiPriority w:val="0"/>
    <w:pPr>
      <w:numPr>
        <w:ilvl w:val="0"/>
        <w:numId w:val="6"/>
      </w:numPr>
      <w:autoSpaceDE w:val="0"/>
      <w:autoSpaceDN w:val="0"/>
      <w:spacing w:after="60"/>
    </w:pPr>
    <w:rPr>
      <w:szCs w:val="16"/>
      <w:lang w:eastAsia="en-US"/>
    </w:rPr>
  </w:style>
  <w:style w:type="paragraph" w:customStyle="1" w:styleId="1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table" w:customStyle="1" w:styleId="138">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3575</Words>
  <Characters>20380</Characters>
  <Lines>169</Lines>
  <Paragraphs>47</Paragraphs>
  <TotalTime>0</TotalTime>
  <ScaleCrop>false</ScaleCrop>
  <LinksUpToDate>false</LinksUpToDate>
  <CharactersWithSpaces>23908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2021-11-03T11:28:00Z</dcterms:created>
  <dc:creator>ZTE</dc:creator>
  <cp:lastModifiedBy>ZTE</cp:lastModifiedBy>
  <dcterms:modified xsi:type="dcterms:W3CDTF">2022-09-30T18:36:47Z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